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pageBreakBefore w:val="0"/>
        <w:wordWrap/>
        <w:topLinePunct w:val="0"/>
        <w:bidi w:val="0"/>
        <w:snapToGrid/>
        <w:spacing w:line="500" w:lineRule="exact"/>
        <w:textAlignment w:val="auto"/>
        <w:rPr>
          <w:rFonts w:hint="eastAsia" w:ascii="仿宋" w:hAnsi="仿宋" w:eastAsia="仿宋" w:cs="仿宋"/>
          <w:color w:val="000000"/>
          <w:spacing w:val="-11"/>
          <w:sz w:val="30"/>
          <w:szCs w:val="30"/>
        </w:rPr>
      </w:pPr>
      <w:r>
        <w:rPr>
          <w:rFonts w:hint="eastAsia" w:ascii="仿宋" w:hAnsi="仿宋" w:eastAsia="仿宋" w:cs="仿宋"/>
          <w:color w:val="000000"/>
          <w:spacing w:val="-11"/>
          <w:sz w:val="30"/>
          <w:szCs w:val="30"/>
        </w:rPr>
        <w:t>附件9：</w:t>
      </w:r>
    </w:p>
    <w:p>
      <w:pPr>
        <w:pStyle w:val="3"/>
        <w:keepNext w:val="0"/>
        <w:pageBreakBefore w:val="0"/>
        <w:wordWrap/>
        <w:topLinePunct w:val="0"/>
        <w:bidi w:val="0"/>
        <w:snapToGrid/>
        <w:spacing w:before="156" w:beforeLines="50" w:line="500" w:lineRule="exact"/>
        <w:ind w:left="0"/>
        <w:jc w:val="center"/>
        <w:textAlignment w:val="auto"/>
        <w:rPr>
          <w:rFonts w:hint="eastAsia" w:ascii="仿宋" w:hAnsi="仿宋" w:eastAsia="仿宋" w:cs="仿宋"/>
          <w:b/>
          <w:bCs/>
          <w:color w:val="000000"/>
          <w:sz w:val="32"/>
          <w:szCs w:val="32"/>
        </w:rPr>
      </w:pPr>
      <w:r>
        <w:rPr>
          <w:rFonts w:hint="eastAsia" w:ascii="仿宋" w:hAnsi="仿宋" w:eastAsia="仿宋" w:cs="仿宋"/>
          <w:b/>
          <w:bCs/>
          <w:color w:val="000000"/>
          <w:sz w:val="32"/>
          <w:szCs w:val="32"/>
        </w:rPr>
        <w:t>申报专职辅导员高级职务业绩基本条件</w:t>
      </w:r>
    </w:p>
    <w:p>
      <w:pPr>
        <w:pStyle w:val="3"/>
        <w:keepNext w:val="0"/>
        <w:pageBreakBefore w:val="0"/>
        <w:wordWrap/>
        <w:overflowPunct w:val="0"/>
        <w:topLinePunct w:val="0"/>
        <w:bidi w:val="0"/>
        <w:snapToGrid/>
        <w:spacing w:line="500" w:lineRule="exact"/>
        <w:ind w:left="0" w:firstLine="602" w:firstLineChars="200"/>
        <w:jc w:val="both"/>
        <w:textAlignment w:val="auto"/>
        <w:rPr>
          <w:rFonts w:hint="eastAsia" w:ascii="仿宋" w:hAnsi="仿宋" w:eastAsia="仿宋" w:cs="仿宋"/>
          <w:b/>
          <w:bCs/>
          <w:color w:val="000000"/>
          <w:sz w:val="30"/>
          <w:szCs w:val="30"/>
        </w:rPr>
      </w:pPr>
    </w:p>
    <w:p>
      <w:pPr>
        <w:pStyle w:val="3"/>
        <w:keepNext w:val="0"/>
        <w:pageBreakBefore w:val="0"/>
        <w:wordWrap/>
        <w:overflowPunct w:val="0"/>
        <w:topLinePunct w:val="0"/>
        <w:bidi w:val="0"/>
        <w:snapToGrid/>
        <w:spacing w:line="500" w:lineRule="exact"/>
        <w:ind w:left="0" w:firstLine="602" w:firstLineChars="200"/>
        <w:jc w:val="both"/>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rPr>
        <w:t>一、教授</w:t>
      </w:r>
    </w:p>
    <w:p>
      <w:pPr>
        <w:keepNext w:val="0"/>
        <w:pageBreakBefore w:val="0"/>
        <w:wordWrap/>
        <w:topLinePunct w:val="0"/>
        <w:bidi w:val="0"/>
        <w:snapToGrid/>
        <w:spacing w:line="500" w:lineRule="exact"/>
        <w:ind w:firstLine="558" w:firstLineChars="200"/>
        <w:jc w:val="both"/>
        <w:textAlignment w:val="auto"/>
        <w:rPr>
          <w:rFonts w:hint="eastAsia" w:ascii="仿宋" w:hAnsi="仿宋" w:eastAsia="仿宋" w:cs="仿宋"/>
          <w:b/>
          <w:bCs/>
          <w:color w:val="000000"/>
          <w:sz w:val="30"/>
          <w:szCs w:val="30"/>
        </w:rPr>
      </w:pPr>
      <w:r>
        <w:rPr>
          <w:rFonts w:hint="eastAsia" w:ascii="仿宋" w:hAnsi="仿宋" w:eastAsia="仿宋" w:cs="仿宋"/>
          <w:b/>
          <w:color w:val="000000"/>
          <w:spacing w:val="-11"/>
          <w:sz w:val="30"/>
          <w:szCs w:val="30"/>
        </w:rPr>
        <w:t>应具备下列条件中的四项，其中第</w:t>
      </w:r>
      <w:r>
        <w:rPr>
          <w:rFonts w:hint="eastAsia" w:ascii="仿宋" w:hAnsi="仿宋" w:eastAsia="仿宋" w:cs="仿宋"/>
          <w:b/>
          <w:color w:val="000000"/>
          <w:spacing w:val="-10"/>
          <w:sz w:val="30"/>
          <w:szCs w:val="30"/>
        </w:rPr>
        <w:t>1～3项为必备项：</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w:t>
      </w:r>
      <w:r>
        <w:rPr>
          <w:rFonts w:hint="eastAsia" w:ascii="仿宋" w:hAnsi="仿宋" w:eastAsia="仿宋" w:cs="仿宋"/>
          <w:color w:val="000000"/>
          <w:sz w:val="30"/>
          <w:szCs w:val="30"/>
          <w:lang w:eastAsia="zh-CN"/>
        </w:rPr>
        <w:t>任现职期间，</w:t>
      </w:r>
      <w:r>
        <w:rPr>
          <w:rFonts w:hint="eastAsia" w:ascii="仿宋" w:hAnsi="仿宋" w:eastAsia="仿宋" w:cs="仿宋"/>
          <w:color w:val="000000"/>
          <w:sz w:val="30"/>
          <w:szCs w:val="30"/>
        </w:rPr>
        <w:t>系统讲授2门及以上思想政治理论课、党团课、形势政策教育、心理健康教育、职业发展、就业指导、创业教育、文化艺术教育、国防教育等相关课程，完成学校规定的教学工作量,每学年平均工作量不低于48学时，教学质量良好。</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2.主持省（部）级及以上研究项目1项。</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w:t>
      </w:r>
      <w:r>
        <w:rPr>
          <w:rFonts w:hint="eastAsia" w:ascii="仿宋" w:hAnsi="仿宋" w:eastAsia="仿宋" w:cs="仿宋"/>
          <w:color w:val="000000"/>
          <w:sz w:val="30"/>
          <w:szCs w:val="30"/>
          <w:lang w:eastAsia="zh-CN"/>
        </w:rPr>
        <w:t>获得符合申报高级职务的</w:t>
      </w:r>
      <w:r>
        <w:rPr>
          <w:rFonts w:hint="eastAsia" w:ascii="仿宋" w:hAnsi="仿宋" w:eastAsia="仿宋" w:cs="仿宋"/>
          <w:color w:val="000000"/>
          <w:sz w:val="30"/>
          <w:szCs w:val="30"/>
          <w:lang w:val="en-US" w:eastAsia="zh-CN"/>
        </w:rPr>
        <w:t>成果</w:t>
      </w:r>
      <w:r>
        <w:rPr>
          <w:rFonts w:hint="eastAsia" w:ascii="仿宋" w:hAnsi="仿宋" w:eastAsia="仿宋" w:cs="仿宋"/>
          <w:color w:val="000000"/>
          <w:sz w:val="30"/>
          <w:szCs w:val="30"/>
          <w:lang w:eastAsia="zh-CN"/>
        </w:rPr>
        <w:t>（见</w:t>
      </w:r>
      <w:r>
        <w:rPr>
          <w:rFonts w:hint="eastAsia" w:ascii="仿宋" w:hAnsi="仿宋" w:eastAsia="仿宋" w:cs="仿宋"/>
          <w:color w:val="000000"/>
          <w:sz w:val="30"/>
          <w:szCs w:val="30"/>
        </w:rPr>
        <w:t>附件15</w:t>
      </w:r>
      <w:r>
        <w:rPr>
          <w:rFonts w:hint="eastAsia" w:ascii="仿宋" w:hAnsi="仿宋" w:eastAsia="仿宋" w:cs="仿宋"/>
          <w:color w:val="000000"/>
          <w:sz w:val="30"/>
          <w:szCs w:val="30"/>
          <w:lang w:val="en-US" w:eastAsia="zh-CN"/>
        </w:rPr>
        <w:t>中第十七点可抵</w:t>
      </w:r>
      <w:r>
        <w:rPr>
          <w:rFonts w:hint="eastAsia" w:ascii="仿宋" w:hAnsi="仿宋" w:eastAsia="仿宋" w:cs="仿宋"/>
          <w:color w:val="000000"/>
          <w:sz w:val="30"/>
          <w:szCs w:val="30"/>
          <w:lang w:eastAsia="zh-CN"/>
        </w:rPr>
        <w:t>，下同）3项</w:t>
      </w:r>
      <w:r>
        <w:rPr>
          <w:rFonts w:hint="eastAsia" w:ascii="仿宋" w:hAnsi="仿宋" w:eastAsia="仿宋" w:cs="仿宋"/>
          <w:color w:val="000000"/>
          <w:sz w:val="30"/>
          <w:szCs w:val="30"/>
        </w:rPr>
        <w:t>，或</w:t>
      </w:r>
      <w:r>
        <w:rPr>
          <w:rFonts w:hint="eastAsia" w:ascii="仿宋" w:hAnsi="仿宋" w:eastAsia="仿宋" w:cs="仿宋"/>
          <w:color w:val="000000"/>
          <w:sz w:val="30"/>
          <w:szCs w:val="30"/>
          <w:lang w:eastAsia="zh-CN"/>
        </w:rPr>
        <w:t>发表</w:t>
      </w:r>
      <w:r>
        <w:rPr>
          <w:rFonts w:hint="eastAsia" w:ascii="仿宋" w:hAnsi="仿宋" w:eastAsia="仿宋" w:cs="仿宋"/>
          <w:color w:val="000000"/>
          <w:sz w:val="30"/>
          <w:szCs w:val="30"/>
        </w:rPr>
        <w:t>“A类高质量论文”2篇。</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4.个人或所带学生团体累计获得省市级及以上教育等主管部门颁发的荣誉称号2次及以上。</w:t>
      </w:r>
      <w:bookmarkStart w:id="0" w:name="_GoBack"/>
      <w:bookmarkEnd w:id="0"/>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5.</w:t>
      </w:r>
      <w:r>
        <w:rPr>
          <w:rFonts w:hint="eastAsia" w:ascii="仿宋" w:hAnsi="仿宋" w:eastAsia="仿宋" w:cs="仿宋"/>
          <w:sz w:val="30"/>
          <w:szCs w:val="30"/>
          <w:lang w:eastAsia="zh-CN"/>
        </w:rPr>
        <w:t>在</w:t>
      </w:r>
      <w:r>
        <w:rPr>
          <w:rFonts w:hint="eastAsia" w:ascii="仿宋" w:hAnsi="仿宋" w:eastAsia="仿宋" w:cs="仿宋"/>
          <w:sz w:val="30"/>
          <w:szCs w:val="30"/>
        </w:rPr>
        <w:t>国家级党报（理论版）发表1篇1000字以上的学术文章</w:t>
      </w:r>
      <w:r>
        <w:rPr>
          <w:rFonts w:hint="eastAsia" w:ascii="仿宋" w:hAnsi="仿宋" w:eastAsia="仿宋" w:cs="仿宋"/>
          <w:sz w:val="30"/>
          <w:szCs w:val="30"/>
          <w:lang w:eastAsia="zh-CN"/>
        </w:rPr>
        <w:t>；或在</w:t>
      </w:r>
      <w:r>
        <w:rPr>
          <w:rFonts w:hint="eastAsia" w:ascii="仿宋" w:hAnsi="仿宋" w:eastAsia="仿宋" w:cs="仿宋"/>
          <w:sz w:val="30"/>
          <w:szCs w:val="30"/>
          <w:lang w:val="en-US" w:eastAsia="zh-CN"/>
        </w:rPr>
        <w:t>省级党报（理论版）发表3篇</w:t>
      </w:r>
      <w:r>
        <w:rPr>
          <w:rFonts w:hint="eastAsia" w:ascii="仿宋" w:hAnsi="仿宋" w:eastAsia="仿宋" w:cs="仿宋"/>
          <w:sz w:val="30"/>
          <w:szCs w:val="30"/>
        </w:rPr>
        <w:t>1000字以上的学术文章</w:t>
      </w:r>
      <w:r>
        <w:rPr>
          <w:rFonts w:hint="eastAsia" w:ascii="仿宋" w:hAnsi="仿宋" w:eastAsia="仿宋" w:cs="仿宋"/>
          <w:sz w:val="30"/>
          <w:szCs w:val="30"/>
          <w:lang w:eastAsia="zh-CN"/>
        </w:rPr>
        <w:t>；</w:t>
      </w:r>
      <w:r>
        <w:rPr>
          <w:rFonts w:hint="eastAsia" w:ascii="仿宋" w:hAnsi="仿宋" w:eastAsia="仿宋" w:cs="仿宋"/>
          <w:color w:val="000000"/>
          <w:sz w:val="30"/>
          <w:szCs w:val="30"/>
          <w:lang w:eastAsia="zh-CN"/>
        </w:rPr>
        <w:t>或其他相当水平的业绩</w:t>
      </w:r>
      <w:r>
        <w:rPr>
          <w:rFonts w:hint="eastAsia" w:ascii="仿宋" w:hAnsi="仿宋" w:eastAsia="仿宋" w:cs="仿宋"/>
          <w:color w:val="auto"/>
          <w:sz w:val="30"/>
          <w:szCs w:val="30"/>
          <w:lang w:eastAsia="zh-CN"/>
        </w:rPr>
        <w:t>。</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6.</w:t>
      </w:r>
      <w:r>
        <w:rPr>
          <w:rFonts w:hint="eastAsia" w:ascii="仿宋" w:hAnsi="仿宋" w:eastAsia="仿宋" w:cs="仿宋"/>
          <w:color w:val="000000"/>
          <w:sz w:val="30"/>
          <w:szCs w:val="30"/>
        </w:rPr>
        <w:t>个人或所带学生团体累计获得校级荣誉称号4次及以上。</w:t>
      </w:r>
    </w:p>
    <w:p>
      <w:pPr>
        <w:pStyle w:val="3"/>
        <w:keepNext w:val="0"/>
        <w:pageBreakBefore w:val="0"/>
        <w:wordWrap/>
        <w:overflowPunct w:val="0"/>
        <w:topLinePunct w:val="0"/>
        <w:bidi w:val="0"/>
        <w:snapToGrid/>
        <w:spacing w:before="156" w:beforeLines="50" w:line="500" w:lineRule="exact"/>
        <w:ind w:left="0" w:firstLine="602" w:firstLineChars="200"/>
        <w:jc w:val="both"/>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rPr>
        <w:t>二、副教授</w:t>
      </w:r>
    </w:p>
    <w:p>
      <w:pPr>
        <w:pStyle w:val="4"/>
        <w:keepNext w:val="0"/>
        <w:pageBreakBefore w:val="0"/>
        <w:wordWrap/>
        <w:topLinePunct w:val="0"/>
        <w:bidi w:val="0"/>
        <w:snapToGrid/>
        <w:spacing w:line="500" w:lineRule="exact"/>
        <w:ind w:firstLine="558"/>
        <w:jc w:val="both"/>
        <w:textAlignment w:val="auto"/>
        <w:rPr>
          <w:rFonts w:hint="eastAsia" w:ascii="仿宋" w:hAnsi="仿宋" w:eastAsia="仿宋" w:cs="仿宋"/>
          <w:color w:val="000000"/>
          <w:sz w:val="30"/>
          <w:szCs w:val="30"/>
        </w:rPr>
      </w:pPr>
      <w:r>
        <w:rPr>
          <w:rFonts w:hint="eastAsia" w:ascii="仿宋" w:hAnsi="仿宋" w:eastAsia="仿宋" w:cs="仿宋"/>
          <w:b/>
          <w:color w:val="000000"/>
          <w:spacing w:val="-11"/>
          <w:sz w:val="30"/>
          <w:szCs w:val="30"/>
        </w:rPr>
        <w:t>应具备下列条件中的四项，其中第</w:t>
      </w:r>
      <w:r>
        <w:rPr>
          <w:rFonts w:hint="eastAsia" w:ascii="仿宋" w:hAnsi="仿宋" w:eastAsia="仿宋" w:cs="仿宋"/>
          <w:b/>
          <w:color w:val="000000"/>
          <w:spacing w:val="-10"/>
          <w:sz w:val="30"/>
          <w:szCs w:val="30"/>
        </w:rPr>
        <w:t>1～3项为必备项：</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w:t>
      </w:r>
      <w:r>
        <w:rPr>
          <w:rFonts w:hint="eastAsia" w:ascii="仿宋" w:hAnsi="仿宋" w:eastAsia="仿宋" w:cs="仿宋"/>
          <w:color w:val="000000"/>
          <w:sz w:val="30"/>
          <w:szCs w:val="30"/>
          <w:lang w:eastAsia="zh-CN"/>
        </w:rPr>
        <w:t>任现职期间，</w:t>
      </w:r>
      <w:r>
        <w:rPr>
          <w:rFonts w:hint="eastAsia" w:ascii="仿宋" w:hAnsi="仿宋" w:eastAsia="仿宋" w:cs="仿宋"/>
          <w:color w:val="000000"/>
          <w:sz w:val="30"/>
          <w:szCs w:val="30"/>
        </w:rPr>
        <w:t>系统讲授过1门及以上思想政治理论课、党团课、形势政策教育、心理健康教育、职业发展、就业指导、创业教育、文化艺术教育、国防教育等相关课程，完成学校规定的教学工作量,每学年平均工作量不低于48学时，教学质量良好。</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2.主持市（厅）级及以上科研项目或省级及以上教学建设项目和教研教改项目1项；或主持校级</w:t>
      </w:r>
      <w:r>
        <w:rPr>
          <w:rFonts w:hint="eastAsia" w:ascii="仿宋" w:hAnsi="仿宋" w:eastAsia="仿宋" w:cs="仿宋"/>
          <w:color w:val="000000"/>
          <w:sz w:val="30"/>
          <w:szCs w:val="30"/>
          <w:lang w:eastAsia="zh-CN"/>
        </w:rPr>
        <w:t>研究</w:t>
      </w:r>
      <w:r>
        <w:rPr>
          <w:rFonts w:hint="eastAsia" w:ascii="仿宋" w:hAnsi="仿宋" w:eastAsia="仿宋" w:cs="仿宋"/>
          <w:color w:val="000000"/>
          <w:sz w:val="30"/>
          <w:szCs w:val="30"/>
        </w:rPr>
        <w:t>项目2项。</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w:t>
      </w:r>
      <w:r>
        <w:rPr>
          <w:rFonts w:hint="eastAsia" w:ascii="仿宋" w:hAnsi="仿宋" w:eastAsia="仿宋" w:cs="仿宋"/>
          <w:color w:val="000000"/>
          <w:sz w:val="30"/>
          <w:szCs w:val="30"/>
          <w:lang w:eastAsia="zh-CN"/>
        </w:rPr>
        <w:t>获得符合申报高级职务的</w:t>
      </w:r>
      <w:r>
        <w:rPr>
          <w:rFonts w:hint="eastAsia" w:ascii="仿宋" w:hAnsi="仿宋" w:eastAsia="仿宋" w:cs="仿宋"/>
          <w:color w:val="000000"/>
          <w:sz w:val="30"/>
          <w:szCs w:val="30"/>
          <w:lang w:val="en-US" w:eastAsia="zh-CN"/>
        </w:rPr>
        <w:t>成果</w:t>
      </w:r>
      <w:r>
        <w:rPr>
          <w:rFonts w:hint="eastAsia" w:ascii="仿宋" w:hAnsi="仿宋" w:eastAsia="仿宋" w:cs="仿宋"/>
          <w:color w:val="000000"/>
          <w:sz w:val="30"/>
          <w:szCs w:val="30"/>
        </w:rPr>
        <w:t>2</w:t>
      </w:r>
      <w:r>
        <w:rPr>
          <w:rFonts w:hint="eastAsia" w:ascii="仿宋" w:hAnsi="仿宋" w:eastAsia="仿宋" w:cs="仿宋"/>
          <w:color w:val="000000"/>
          <w:sz w:val="30"/>
          <w:szCs w:val="30"/>
          <w:lang w:eastAsia="zh-CN"/>
        </w:rPr>
        <w:t>项</w:t>
      </w:r>
      <w:r>
        <w:rPr>
          <w:rFonts w:hint="eastAsia" w:ascii="仿宋" w:hAnsi="仿宋" w:eastAsia="仿宋" w:cs="仿宋"/>
          <w:color w:val="000000"/>
          <w:sz w:val="30"/>
          <w:szCs w:val="30"/>
        </w:rPr>
        <w:t>，或</w:t>
      </w:r>
      <w:r>
        <w:rPr>
          <w:rFonts w:hint="eastAsia" w:ascii="仿宋" w:hAnsi="仿宋" w:eastAsia="仿宋" w:cs="仿宋"/>
          <w:color w:val="000000"/>
          <w:sz w:val="30"/>
          <w:szCs w:val="30"/>
          <w:lang w:eastAsia="zh-CN"/>
        </w:rPr>
        <w:t>发表</w:t>
      </w:r>
      <w:r>
        <w:rPr>
          <w:rFonts w:hint="eastAsia" w:ascii="仿宋" w:hAnsi="仿宋" w:eastAsia="仿宋" w:cs="仿宋"/>
          <w:color w:val="000000"/>
          <w:sz w:val="30"/>
          <w:szCs w:val="30"/>
        </w:rPr>
        <w:t>“A类高质量论文”1篇。</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4.个人或所带学生团体获得省市级及以上教育等主管部门颁发的荣誉称号1次及以上。</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lang w:eastAsia="zh-CN"/>
        </w:rPr>
      </w:pPr>
      <w:r>
        <w:rPr>
          <w:rFonts w:hint="eastAsia" w:ascii="仿宋" w:hAnsi="仿宋" w:eastAsia="仿宋" w:cs="仿宋"/>
          <w:sz w:val="30"/>
          <w:szCs w:val="30"/>
        </w:rPr>
        <w:t>5.</w:t>
      </w:r>
      <w:r>
        <w:rPr>
          <w:rFonts w:hint="eastAsia" w:ascii="仿宋" w:hAnsi="仿宋" w:eastAsia="仿宋" w:cs="仿宋"/>
          <w:sz w:val="30"/>
          <w:szCs w:val="30"/>
          <w:lang w:eastAsia="zh-CN"/>
        </w:rPr>
        <w:t>在</w:t>
      </w:r>
      <w:r>
        <w:rPr>
          <w:rFonts w:hint="eastAsia" w:ascii="仿宋" w:hAnsi="仿宋" w:eastAsia="仿宋" w:cs="仿宋"/>
          <w:sz w:val="30"/>
          <w:szCs w:val="30"/>
        </w:rPr>
        <w:t>国家级党报（理论版）发表1篇1000字以上的学术文章</w:t>
      </w:r>
      <w:r>
        <w:rPr>
          <w:rFonts w:hint="eastAsia" w:ascii="仿宋" w:hAnsi="仿宋" w:eastAsia="仿宋" w:cs="仿宋"/>
          <w:sz w:val="30"/>
          <w:szCs w:val="30"/>
          <w:lang w:eastAsia="zh-CN"/>
        </w:rPr>
        <w:t>；或在</w:t>
      </w:r>
      <w:r>
        <w:rPr>
          <w:rFonts w:hint="eastAsia" w:ascii="仿宋" w:hAnsi="仿宋" w:eastAsia="仿宋" w:cs="仿宋"/>
          <w:sz w:val="30"/>
          <w:szCs w:val="30"/>
          <w:lang w:val="en-US" w:eastAsia="zh-CN"/>
        </w:rPr>
        <w:t>省级党报（理论版）发表2篇</w:t>
      </w:r>
      <w:r>
        <w:rPr>
          <w:rFonts w:hint="eastAsia" w:ascii="仿宋" w:hAnsi="仿宋" w:eastAsia="仿宋" w:cs="仿宋"/>
          <w:sz w:val="30"/>
          <w:szCs w:val="30"/>
        </w:rPr>
        <w:t>1000字以上的学术文章</w:t>
      </w:r>
      <w:r>
        <w:rPr>
          <w:rFonts w:hint="eastAsia" w:ascii="仿宋" w:hAnsi="仿宋" w:eastAsia="仿宋" w:cs="仿宋"/>
          <w:sz w:val="30"/>
          <w:szCs w:val="30"/>
          <w:lang w:eastAsia="zh-CN"/>
        </w:rPr>
        <w:t>；或</w:t>
      </w:r>
      <w:r>
        <w:rPr>
          <w:rFonts w:hint="eastAsia" w:ascii="仿宋" w:hAnsi="仿宋" w:eastAsia="仿宋" w:cs="仿宋"/>
          <w:color w:val="000000"/>
          <w:sz w:val="30"/>
          <w:szCs w:val="30"/>
          <w:lang w:eastAsia="zh-CN"/>
        </w:rPr>
        <w:t>其他相当水平的业绩。</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6.</w:t>
      </w:r>
      <w:r>
        <w:rPr>
          <w:rFonts w:hint="eastAsia" w:ascii="仿宋" w:hAnsi="仿宋" w:eastAsia="仿宋" w:cs="仿宋"/>
          <w:color w:val="000000"/>
          <w:sz w:val="30"/>
          <w:szCs w:val="30"/>
        </w:rPr>
        <w:t>个人或所带学生团体累计获得校级荣誉称号2次及以上。</w:t>
      </w:r>
    </w:p>
    <w:p>
      <w:pPr>
        <w:pStyle w:val="3"/>
        <w:keepNext w:val="0"/>
        <w:pageBreakBefore w:val="0"/>
        <w:wordWrap/>
        <w:overflowPunct w:val="0"/>
        <w:topLinePunct w:val="0"/>
        <w:bidi w:val="0"/>
        <w:snapToGrid/>
        <w:spacing w:line="500" w:lineRule="exact"/>
        <w:ind w:left="0" w:firstLine="548" w:firstLineChars="200"/>
        <w:jc w:val="both"/>
        <w:textAlignment w:val="auto"/>
        <w:rPr>
          <w:rFonts w:hint="eastAsia" w:ascii="仿宋" w:hAnsi="仿宋" w:eastAsia="仿宋" w:cs="仿宋"/>
          <w:color w:val="000000"/>
          <w:spacing w:val="-13"/>
          <w:sz w:val="30"/>
          <w:szCs w:val="30"/>
          <w:lang w:val="zh-CN"/>
        </w:rPr>
      </w:pPr>
    </w:p>
    <w:p>
      <w:pPr>
        <w:pStyle w:val="4"/>
        <w:keepNext w:val="0"/>
        <w:pageBreakBefore w:val="0"/>
        <w:wordWrap/>
        <w:topLinePunct w:val="0"/>
        <w:bidi w:val="0"/>
        <w:snapToGrid/>
        <w:spacing w:line="500" w:lineRule="exact"/>
        <w:ind w:firstLine="643"/>
        <w:jc w:val="both"/>
        <w:textAlignment w:val="auto"/>
        <w:rPr>
          <w:rFonts w:hint="eastAsia" w:ascii="仿宋" w:hAnsi="仿宋" w:eastAsia="仿宋" w:cs="仿宋"/>
          <w:b/>
          <w:bCs/>
          <w:color w:val="000000"/>
          <w:sz w:val="30"/>
          <w:szCs w:val="30"/>
          <w:lang w:val="zh-CN"/>
        </w:rPr>
      </w:pPr>
      <w:r>
        <w:rPr>
          <w:rFonts w:hint="eastAsia" w:ascii="仿宋" w:hAnsi="仿宋" w:eastAsia="仿宋" w:cs="仿宋"/>
          <w:b/>
          <w:bCs/>
          <w:color w:val="000000"/>
          <w:sz w:val="30"/>
          <w:szCs w:val="30"/>
          <w:lang w:val="zh-CN"/>
        </w:rPr>
        <w:t>备注：</w:t>
      </w:r>
    </w:p>
    <w:p>
      <w:pPr>
        <w:pStyle w:val="4"/>
        <w:keepNext w:val="0"/>
        <w:pageBreakBefore w:val="0"/>
        <w:wordWrap/>
        <w:topLinePunct w:val="0"/>
        <w:bidi w:val="0"/>
        <w:snapToGrid/>
        <w:spacing w:line="500" w:lineRule="exact"/>
        <w:ind w:firstLine="540"/>
        <w:jc w:val="both"/>
        <w:textAlignment w:val="auto"/>
        <w:rPr>
          <w:rFonts w:hint="eastAsia" w:ascii="仿宋" w:hAnsi="仿宋" w:eastAsia="仿宋" w:cs="仿宋"/>
          <w:color w:val="000000"/>
          <w:spacing w:val="-15"/>
          <w:sz w:val="30"/>
          <w:szCs w:val="30"/>
          <w:lang w:val="en-US" w:eastAsia="zh-CN"/>
        </w:rPr>
      </w:pPr>
      <w:r>
        <w:rPr>
          <w:rFonts w:hint="eastAsia" w:ascii="仿宋" w:hAnsi="仿宋" w:eastAsia="仿宋" w:cs="仿宋"/>
          <w:color w:val="000000"/>
          <w:spacing w:val="-15"/>
          <w:sz w:val="30"/>
          <w:szCs w:val="30"/>
          <w:lang w:val="en-US" w:eastAsia="zh-CN"/>
        </w:rPr>
        <w:t>专职辅导员是指在学院专职从事大学生日常思想政治教育工作的人员，包括学院党委副书记、团委书记等专职工作人员</w:t>
      </w:r>
      <w:r>
        <w:rPr>
          <w:rFonts w:hint="eastAsia" w:ascii="仿宋" w:hAnsi="仿宋" w:eastAsia="仿宋" w:cs="仿宋"/>
          <w:color w:val="000000"/>
          <w:spacing w:val="-15"/>
          <w:sz w:val="30"/>
          <w:szCs w:val="30"/>
          <w:lang w:eastAsia="zh-CN"/>
        </w:rPr>
        <w:t>。</w:t>
      </w:r>
    </w:p>
    <w:p>
      <w:pPr>
        <w:pStyle w:val="3"/>
        <w:keepNext w:val="0"/>
        <w:pageBreakBefore w:val="0"/>
        <w:wordWrap/>
        <w:overflowPunct w:val="0"/>
        <w:topLinePunct w:val="0"/>
        <w:bidi w:val="0"/>
        <w:snapToGrid/>
        <w:spacing w:line="500" w:lineRule="exact"/>
        <w:ind w:left="0" w:firstLine="540" w:firstLineChars="200"/>
        <w:jc w:val="both"/>
        <w:textAlignment w:val="auto"/>
        <w:rPr>
          <w:rFonts w:hint="eastAsia" w:ascii="仿宋" w:hAnsi="仿宋" w:eastAsia="仿宋" w:cs="仿宋"/>
          <w:color w:val="000000"/>
          <w:spacing w:val="-15"/>
          <w:sz w:val="30"/>
          <w:szCs w:val="30"/>
        </w:rPr>
      </w:pPr>
      <w:r>
        <w:rPr>
          <w:rFonts w:hint="eastAsia" w:ascii="仿宋" w:hAnsi="仿宋" w:eastAsia="仿宋" w:cs="仿宋"/>
          <w:color w:val="000000"/>
          <w:spacing w:val="-15"/>
          <w:sz w:val="30"/>
          <w:szCs w:val="30"/>
        </w:rPr>
        <w:t>有组织、有计划、有主题、有讲稿、有宣教对象、有记录的宣教活动（如新生入学教育、学生安全教育、毕业生就业教育指导、主题班会、学生干部培训教育等），可按实际课时数计算教学工作量，按人员归口由学工部、团委审核。</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61FC0"/>
    <w:rsid w:val="26255A01"/>
    <w:rsid w:val="54961F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Times New Roman"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sz w:val="20"/>
    </w:rPr>
  </w:style>
  <w:style w:type="paragraph" w:styleId="3">
    <w:name w:val="Body Text"/>
    <w:basedOn w:val="1"/>
    <w:unhideWhenUsed/>
    <w:qFormat/>
    <w:uiPriority w:val="1"/>
    <w:pPr>
      <w:ind w:left="111"/>
    </w:pPr>
    <w:rPr>
      <w:rFonts w:hint="eastAsia" w:ascii="仿宋" w:hAnsi="仿宋" w:eastAsia="仿宋"/>
      <w:sz w:val="32"/>
    </w:rPr>
  </w:style>
  <w:style w:type="paragraph" w:styleId="4">
    <w:name w:val="Body Text Indent"/>
    <w:basedOn w:val="1"/>
    <w:unhideWhenUsed/>
    <w:qFormat/>
    <w:uiPriority w:val="0"/>
    <w:pPr>
      <w:ind w:firstLine="560" w:firstLineChars="200"/>
    </w:pPr>
    <w:rPr>
      <w:rFonts w:eastAsia="仿宋_GB231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2020-12-25T04:54:00Z</dcterms:created>
  <dc:creator>缘聚缘散</dc:creator>
  <cp:lastModifiedBy>缘聚缘散</cp:lastModifiedBy>
  <dcterms:modified xsi:type="dcterms:W3CDTF">2020-12-25T04:55:21Z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