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pageBreakBefore w:val="0"/>
        <w:wordWrap/>
        <w:topLinePunct w:val="0"/>
        <w:bidi w:val="0"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000000"/>
          <w:spacing w:val="-11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11"/>
          <w:sz w:val="30"/>
          <w:szCs w:val="30"/>
        </w:rPr>
        <w:t>附件2：</w:t>
      </w:r>
    </w:p>
    <w:p>
      <w:pPr>
        <w:pStyle w:val="3"/>
        <w:keepNext w:val="0"/>
        <w:keepLines/>
        <w:pageBreakBefore w:val="0"/>
        <w:wordWrap/>
        <w:overflowPunct w:val="0"/>
        <w:topLinePunct w:val="0"/>
        <w:bidi w:val="0"/>
        <w:snapToGrid/>
        <w:spacing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申报建筑类学科高级职务业绩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基本</w:t>
      </w: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条件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建筑类学科是指建筑学、城乡规划学、风景园林学三个一级学科。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一、教授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1.完成额定的教学工作量。任现职期间，独立系统地主讲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门及以上的本科生课程，教学质量良好。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认真研究教学方法，不断提升教学能力。任现职期间,主持1项省级及以上教学建设项目或教研教改项目；或主编出版并使用的本科或研究生教材1部；或以第一作者在核心刊物上公开发表过1篇教学研究论文；或获得省级及以上教学类表彰（排名不限）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3.主持国家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自然科学基金</w:t>
      </w:r>
      <w:r>
        <w:rPr>
          <w:rFonts w:hint="eastAsia" w:ascii="仿宋" w:hAnsi="仿宋" w:eastAsia="仿宋" w:cs="仿宋"/>
          <w:color w:val="000000"/>
          <w:sz w:val="30"/>
          <w:szCs w:val="30"/>
          <w:lang w:bidi="ar"/>
        </w:rPr>
        <w:t>面上及以上类别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 w:bidi="ar"/>
        </w:rPr>
        <w:t>的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项目或国家社科一般及以上项目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1项；或主持纵向项目累计到校经费40万元；或主持横向项目单项到校经费100万元；或主持研究项目累计到校经费200万元。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（见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附件15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中第十七点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，下同）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；或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“A类高质量论文”1篇；或者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，同时获国家级科研成果二等奖及以上奖励，或同时获省（部）级科研成果二等奖及以上（前三名）、三等奖（排名第一）。</w:t>
      </w:r>
    </w:p>
    <w:p>
      <w:pPr>
        <w:pStyle w:val="5"/>
        <w:keepNext w:val="0"/>
        <w:keepLines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firstLine="594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  <w:t>二、副教授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1.完成额定的教学工作量。任现职期间，独立系统地主讲1门及以上的本科生课程，教学质量良好。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认真研究教学方法，不断提升教学能力。任现职期间,主持1项校级及以上教学建设项目或教研教改项目；或参与（前三名）1项省级及以上教学建设项目或教研教改项目；或参与编写公开出版并使用的本科或研究生教材1部（其中本人撰写字数不少于5万字）；或以第一作者在学术刊物上公开发表过1篇教学研究论文；或获得校级及以上教学类表彰；或指导学生参加学校公布的创新创业竞赛项目获奖。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3.主持省级重点、重大及以上科研项目1项；或主持纵向项目累计到校经费20万元；或主持横向项目单项到校经费50万元；或主持研究项目累计到校经费100万元。 </w:t>
      </w:r>
    </w:p>
    <w:p>
      <w:pPr>
        <w:pStyle w:val="5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；或者获国家级科研成果二等奖及以上奖励；或获省（部）级科研成果二等奖及以上（前五名）、三等奖（前三名）。</w:t>
      </w:r>
    </w:p>
    <w:p>
      <w:pPr>
        <w:pStyle w:val="3"/>
        <w:keepNext w:val="0"/>
        <w:keepLines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554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2"/>
          <w:sz w:val="30"/>
          <w:szCs w:val="30"/>
        </w:rPr>
        <w:t xml:space="preserve">三、破格申报教授职务 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</w:rPr>
        <w:t>在满足正常晋升职务业绩条件的同时，应具备下列条件之一：</w:t>
      </w:r>
    </w:p>
    <w:p>
      <w:pPr>
        <w:pStyle w:val="3"/>
        <w:keepNext w:val="0"/>
        <w:keepLines/>
        <w:pageBreakBefore w:val="0"/>
        <w:wordWrap/>
        <w:overflowPunct w:val="0"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国家自然科学基金面上（不含）以上类别的项目1项；或负责国家科技重大专项、技术创新引导专项、国际合作项目等子课题2项；或主持横向项目单项到校经费200万元；或主持研究项目累计到校经费350万元。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2.获得符合申报高级职务的成果为正常晋升正高职务基本要求的2倍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。</w:t>
      </w:r>
      <w:bookmarkStart w:id="0" w:name="_GoBack"/>
      <w:bookmarkEnd w:id="0"/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3.增加科研成果1项，即获国家科技奖排名前五的完成人或获省（部）级科研成果一等奖第一完成人。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4．在专业领域，其署名作品获国务院、国务院相关部委或福建省人民政府（不含各厅局）表彰。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5.其他相当水平的业绩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0C62B7"/>
    <w:rsid w:val="210C62B7"/>
    <w:rsid w:val="341333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ind w:left="111"/>
      <w:outlineLvl w:val="0"/>
    </w:pPr>
    <w:rPr>
      <w:rFonts w:hint="eastAsia" w:ascii="方正小标宋简体" w:hAnsi="方正小标宋简体" w:eastAsia="方正小标宋简体"/>
      <w:sz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sz w:val="20"/>
    </w:rPr>
  </w:style>
  <w:style w:type="paragraph" w:styleId="3">
    <w:name w:val="Body Text"/>
    <w:basedOn w:val="1"/>
    <w:unhideWhenUsed/>
    <w:qFormat/>
    <w:uiPriority w:val="1"/>
    <w:pPr>
      <w:ind w:left="111"/>
    </w:pPr>
    <w:rPr>
      <w:rFonts w:hint="eastAsia" w:ascii="仿宋" w:hAnsi="仿宋" w:eastAsia="仿宋"/>
      <w:sz w:val="32"/>
    </w:rPr>
  </w:style>
  <w:style w:type="paragraph" w:styleId="5">
    <w:name w:val="Body Text Indent"/>
    <w:basedOn w:val="1"/>
    <w:unhideWhenUsed/>
    <w:qFormat/>
    <w:uiPriority w:val="0"/>
    <w:pPr>
      <w:ind w:firstLine="560" w:firstLineChars="200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2020-12-25T03:46:00Z</dcterms:created>
  <dc:creator>缘聚缘散</dc:creator>
  <cp:lastModifiedBy>缘聚缘散</cp:lastModifiedBy>
  <dcterms:modified xsi:type="dcterms:W3CDTF">2020-12-25T03:56:33Z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