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after="156" w:afterLines="50" w:line="500" w:lineRule="exact"/>
        <w:textAlignment w:val="auto"/>
        <w:rPr>
          <w:rFonts w:hint="eastAsia" w:ascii="仿宋" w:hAnsi="仿宋" w:eastAsia="仿宋" w:cs="仿宋"/>
          <w:color w:val="000000"/>
          <w:spacing w:val="-11"/>
          <w:sz w:val="30"/>
          <w:szCs w:val="30"/>
        </w:rPr>
      </w:pPr>
      <w:r>
        <w:rPr>
          <w:rFonts w:hint="eastAsia" w:ascii="仿宋" w:hAnsi="仿宋" w:eastAsia="仿宋" w:cs="仿宋"/>
          <w:color w:val="000000"/>
          <w:spacing w:val="-11"/>
          <w:sz w:val="30"/>
          <w:szCs w:val="30"/>
        </w:rPr>
        <w:t>附件15：</w:t>
      </w:r>
    </w:p>
    <w:p>
      <w:pPr>
        <w:pStyle w:val="3"/>
        <w:keepNext w:val="0"/>
        <w:keepLines/>
        <w:pageBreakBefore w:val="0"/>
        <w:wordWrap/>
        <w:overflowPunct w:val="0"/>
        <w:topLinePunct w:val="0"/>
        <w:bidi w:val="0"/>
        <w:snapToGrid/>
        <w:spacing w:before="156" w:beforeLines="50" w:after="156" w:afterLines="50" w:line="500" w:lineRule="exact"/>
        <w:ind w:left="0"/>
        <w:jc w:val="center"/>
        <w:textAlignment w:val="auto"/>
        <w:rPr>
          <w:rFonts w:hint="eastAsia" w:ascii="仿宋" w:hAnsi="仿宋" w:eastAsia="仿宋" w:cs="仿宋"/>
          <w:b/>
          <w:bCs/>
          <w:color w:val="000000"/>
          <w:spacing w:val="-11"/>
          <w:sz w:val="32"/>
          <w:szCs w:val="32"/>
        </w:rPr>
      </w:pPr>
      <w:r>
        <w:rPr>
          <w:rFonts w:hint="eastAsia" w:ascii="仿宋" w:hAnsi="仿宋" w:eastAsia="仿宋" w:cs="仿宋"/>
          <w:b/>
          <w:bCs/>
          <w:color w:val="000000"/>
          <w:spacing w:val="-11"/>
          <w:sz w:val="32"/>
          <w:szCs w:val="32"/>
        </w:rPr>
        <w:t>本实施办法有关说明</w:t>
      </w:r>
    </w:p>
    <w:p>
      <w:pPr>
        <w:pStyle w:val="3"/>
        <w:keepNext w:val="0"/>
        <w:pageBreakBefore w:val="0"/>
        <w:wordWrap/>
        <w:overflowPunct w:val="0"/>
        <w:topLinePunct w:val="0"/>
        <w:bidi w:val="0"/>
        <w:snapToGrid/>
        <w:spacing w:line="500" w:lineRule="exact"/>
        <w:ind w:left="0" w:firstLine="600" w:firstLineChars="200"/>
        <w:jc w:val="both"/>
        <w:textAlignment w:val="auto"/>
        <w:rPr>
          <w:rFonts w:hint="eastAsia" w:ascii="仿宋" w:hAnsi="仿宋" w:eastAsia="仿宋" w:cs="仿宋"/>
          <w:color w:val="000000"/>
          <w:sz w:val="30"/>
          <w:szCs w:val="30"/>
        </w:rPr>
      </w:pP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一、</w:t>
      </w:r>
      <w:r>
        <w:rPr>
          <w:rFonts w:hint="eastAsia" w:ascii="仿宋" w:hAnsi="仿宋" w:eastAsia="仿宋" w:cs="仿宋"/>
          <w:color w:val="000000"/>
          <w:sz w:val="30"/>
          <w:szCs w:val="30"/>
        </w:rPr>
        <w:t xml:space="preserve">“延迟1年”：如正常年限未满，按正常期限加一年计算；如正常年限已满，按受处分之日起向后延迟1年计算。“延迟2年”、“延迟3年”计算方法参照“延迟1年”。 </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二、</w:t>
      </w:r>
      <w:r>
        <w:rPr>
          <w:rFonts w:hint="eastAsia" w:ascii="仿宋" w:hAnsi="仿宋" w:eastAsia="仿宋" w:cs="仿宋"/>
          <w:color w:val="000000"/>
          <w:sz w:val="30"/>
          <w:szCs w:val="30"/>
        </w:rPr>
        <w:t>论文须为独立或作为第一作者公开发表的学术论文。共同</w:t>
      </w:r>
      <w:r>
        <w:rPr>
          <w:rFonts w:hint="eastAsia" w:ascii="仿宋" w:hAnsi="仿宋" w:eastAsia="仿宋" w:cs="仿宋"/>
          <w:color w:val="000000"/>
          <w:sz w:val="30"/>
          <w:szCs w:val="30"/>
          <w:lang w:eastAsia="zh-CN"/>
        </w:rPr>
        <w:t>第一</w:t>
      </w:r>
      <w:r>
        <w:rPr>
          <w:rFonts w:hint="eastAsia" w:ascii="仿宋" w:hAnsi="仿宋" w:eastAsia="仿宋" w:cs="仿宋"/>
          <w:color w:val="000000"/>
          <w:sz w:val="30"/>
          <w:szCs w:val="30"/>
        </w:rPr>
        <w:t>作者仅认定排名第一的作者。</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送审代表作应是独立撰写或第一作者。除“三类高质量论文”中的“在国内外顶级学术会议上进行报告的论文”以外，其他的会议论文集、专辑、增刊、在非法刊物上或非学术刊物上发表的论文以及没有公开发表的学术论文（专著）一律不能作为评审材料。“在国内外顶级学术会议上进行报告的论文”</w:t>
      </w:r>
      <w:r>
        <w:rPr>
          <w:rFonts w:hint="eastAsia" w:ascii="仿宋" w:hAnsi="仿宋" w:eastAsia="仿宋" w:cs="仿宋"/>
          <w:color w:val="000000"/>
          <w:sz w:val="30"/>
          <w:szCs w:val="30"/>
          <w:lang w:eastAsia="zh-CN"/>
        </w:rPr>
        <w:t>与在期刊发表的论文若主要内容相似的，则只认定</w:t>
      </w:r>
      <w:r>
        <w:rPr>
          <w:rFonts w:hint="eastAsia" w:ascii="仿宋" w:hAnsi="仿宋" w:eastAsia="仿宋" w:cs="仿宋"/>
          <w:color w:val="000000"/>
          <w:sz w:val="30"/>
          <w:szCs w:val="30"/>
          <w:lang w:val="en-US" w:eastAsia="zh-CN"/>
        </w:rPr>
        <w:t>1篇论文。</w:t>
      </w:r>
      <w:r>
        <w:rPr>
          <w:rFonts w:hint="eastAsia" w:ascii="仿宋" w:hAnsi="仿宋" w:eastAsia="仿宋" w:cs="仿宋"/>
          <w:color w:val="000000"/>
          <w:sz w:val="30"/>
          <w:szCs w:val="30"/>
        </w:rPr>
        <w:t>在福建工程学院学报发表的论文在任期内可认定1篇为核心期刊论文。优秀网络文化成果根据校科研处发布的文件精神认定来确定等级。教材、专著须经相关职能部门认定。</w:t>
      </w:r>
    </w:p>
    <w:p>
      <w:pPr>
        <w:pStyle w:val="4"/>
        <w:keepNext w:val="0"/>
        <w:pageBreakBefore w:val="0"/>
        <w:wordWrap/>
        <w:topLinePunct w:val="0"/>
        <w:bidi w:val="0"/>
        <w:snapToGrid/>
        <w:spacing w:line="500" w:lineRule="exact"/>
        <w:ind w:firstLine="6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三、</w:t>
      </w:r>
      <w:r>
        <w:rPr>
          <w:rFonts w:hint="eastAsia" w:ascii="仿宋" w:hAnsi="仿宋" w:eastAsia="仿宋" w:cs="仿宋"/>
          <w:color w:val="000000"/>
          <w:sz w:val="30"/>
          <w:szCs w:val="30"/>
        </w:rPr>
        <w:t>“A类高质量论文”、“三类高质量论文”、“教研类高质量论文”期刊清单由学校制定发布。核心期刊指论文发表当年列入北大、</w:t>
      </w:r>
      <w:r>
        <w:rPr>
          <w:rFonts w:hint="eastAsia" w:ascii="仿宋" w:hAnsi="仿宋" w:eastAsia="仿宋" w:cs="仿宋"/>
          <w:color w:val="000000"/>
          <w:sz w:val="30"/>
          <w:szCs w:val="30"/>
          <w:lang w:val="en-US" w:eastAsia="zh-CN"/>
        </w:rPr>
        <w:t>CSSCI</w:t>
      </w:r>
      <w:r>
        <w:rPr>
          <w:rFonts w:hint="eastAsia" w:ascii="仿宋" w:hAnsi="仿宋" w:eastAsia="仿宋" w:cs="仿宋"/>
          <w:color w:val="000000"/>
          <w:sz w:val="30"/>
          <w:szCs w:val="30"/>
        </w:rPr>
        <w:t>或CSCD核心期刊。</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四、</w:t>
      </w:r>
      <w:r>
        <w:rPr>
          <w:rFonts w:hint="eastAsia" w:ascii="仿宋" w:hAnsi="仿宋" w:eastAsia="仿宋" w:cs="仿宋"/>
          <w:color w:val="000000"/>
          <w:sz w:val="30"/>
          <w:szCs w:val="30"/>
        </w:rPr>
        <w:t>正式出版的学术刊物指由学术团体或科研机构主办的，以刊发学术论文为主，且所刊论文被大型文献检索数据库收录，符合新闻出版总署期刊出版规范，并在我国境内注册、国内公开发行的学术刊物（均须有ISSN和CN刊号）。境外期刊须有ISSN号</w:t>
      </w:r>
      <w:r>
        <w:rPr>
          <w:rFonts w:hint="eastAsia" w:ascii="仿宋" w:hAnsi="仿宋" w:eastAsia="仿宋" w:cs="仿宋"/>
          <w:color w:val="000000"/>
          <w:sz w:val="30"/>
          <w:szCs w:val="30"/>
          <w:lang w:eastAsia="zh-CN"/>
        </w:rPr>
        <w:t>，发表在境外期刊的学术论文须有卷号、页码以及检索报告，且检索报告中须体现出版时间</w:t>
      </w:r>
      <w:r>
        <w:rPr>
          <w:rFonts w:hint="eastAsia" w:ascii="仿宋" w:hAnsi="仿宋" w:eastAsia="仿宋" w:cs="仿宋"/>
          <w:color w:val="000000"/>
          <w:sz w:val="30"/>
          <w:szCs w:val="30"/>
        </w:rPr>
        <w:t>。党报是指《人民日报》、《光明日报》、《中国青年报》、《福建日报》等。</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五、</w:t>
      </w:r>
      <w:r>
        <w:rPr>
          <w:rFonts w:hint="eastAsia" w:ascii="仿宋" w:hAnsi="仿宋" w:eastAsia="仿宋" w:cs="仿宋"/>
          <w:color w:val="000000"/>
          <w:sz w:val="30"/>
          <w:szCs w:val="30"/>
        </w:rPr>
        <w:t>所列职务业绩成果均指任现职以来本人独立或为主（排名第一）承担的业绩成果，有特别说明的以说明为准。“任现职以来”包括同级职务任职时间。教师、实验技术人员如遇访学、挂职、产假等，在学校批准的期限内教学工作量可不作要求。</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六、</w:t>
      </w:r>
      <w:r>
        <w:rPr>
          <w:rFonts w:hint="eastAsia" w:ascii="仿宋" w:hAnsi="仿宋" w:eastAsia="仿宋" w:cs="仿宋"/>
          <w:color w:val="000000"/>
          <w:sz w:val="30"/>
          <w:szCs w:val="30"/>
        </w:rPr>
        <w:t>同时满足多个条款规定的业绩相互独立，只能使用1次。若确实存在单项业绩特别突出的情况，可提出申请。</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七、</w:t>
      </w:r>
      <w:r>
        <w:rPr>
          <w:rFonts w:hint="eastAsia" w:ascii="仿宋" w:hAnsi="仿宋" w:eastAsia="仿宋" w:cs="仿宋"/>
          <w:color w:val="000000"/>
          <w:sz w:val="30"/>
          <w:szCs w:val="30"/>
        </w:rPr>
        <w:t>同一业绩按最高级别认定，不可重复计算。</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八、</w:t>
      </w:r>
      <w:r>
        <w:rPr>
          <w:rFonts w:hint="eastAsia" w:ascii="仿宋" w:hAnsi="仿宋" w:eastAsia="仿宋" w:cs="仿宋"/>
          <w:color w:val="000000"/>
          <w:sz w:val="30"/>
          <w:szCs w:val="30"/>
        </w:rPr>
        <w:t>用于申报专业技术职务的业绩成果，凡在进入我校以后取得的，其第一署名单位均须为福建工程学院。对于非福建工程学院为第一署名单位的成果，以下情况可予以认定：</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经学校审批在职攻读博士学位、访学进修的教师，其进修期间取得的业绩成果（含以博士培养、访学进修单位为第一单位、以福建工程学院为第二单位的业绩成果），可以作为其申报相应专业技术职务的业绩成果，但只能选择1篇进修期间以博士培养、访学进修单位为第一单位的论文作为其送审代表作。</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2.入职我校前半年内（以正式报到之日起计算）已投稿且进校后正式发表的论文。 </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九、</w:t>
      </w:r>
      <w:r>
        <w:rPr>
          <w:rFonts w:hint="eastAsia" w:ascii="仿宋" w:hAnsi="仿宋" w:eastAsia="仿宋" w:cs="仿宋"/>
          <w:color w:val="000000"/>
          <w:sz w:val="30"/>
          <w:szCs w:val="30"/>
        </w:rPr>
        <w:t>研究项目包括科研项目、教研教改项目、教学建设项目，科研项目包括纵向项目和横向项目。</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纵向项目是指由政府机关资助经费的项目。其中，我校自主立项的课题不视为纵向项目。</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教研教改项目包括教育教学改革研究、高等教育科学研究项目。</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教学建设项目包括本科和研究生的教学建设项目。</w:t>
      </w:r>
    </w:p>
    <w:p>
      <w:pPr>
        <w:pStyle w:val="4"/>
        <w:keepNext w:val="0"/>
        <w:pageBreakBefore w:val="0"/>
        <w:wordWrap/>
        <w:topLinePunct w:val="0"/>
        <w:bidi w:val="0"/>
        <w:snapToGrid/>
        <w:spacing w:line="500" w:lineRule="exact"/>
        <w:ind w:firstLine="600"/>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w:t>
      </w:r>
      <w:r>
        <w:rPr>
          <w:rFonts w:hint="eastAsia" w:ascii="仿宋" w:hAnsi="仿宋" w:eastAsia="仿宋" w:cs="仿宋"/>
          <w:color w:val="000000"/>
          <w:sz w:val="30"/>
          <w:szCs w:val="30"/>
        </w:rPr>
        <w:t>研究项目经费、级别和研究成果的认定由相关职能部门负责，到校经费均不包括项目立项时合同规定用于研发或产业化实施而打包转至外单位的协作费、工程款以及非研究性经费，学校学工部和团委管理的研究项目仅限于</w:t>
      </w:r>
      <w:r>
        <w:rPr>
          <w:rFonts w:hint="eastAsia" w:ascii="仿宋" w:hAnsi="仿宋" w:eastAsia="仿宋" w:cs="仿宋"/>
          <w:color w:val="000000"/>
          <w:sz w:val="30"/>
          <w:szCs w:val="30"/>
          <w:lang w:eastAsia="zh-CN"/>
        </w:rPr>
        <w:t>专职辅导员</w:t>
      </w:r>
      <w:r>
        <w:rPr>
          <w:rFonts w:hint="eastAsia" w:ascii="仿宋" w:hAnsi="仿宋" w:eastAsia="仿宋" w:cs="仿宋"/>
          <w:color w:val="000000"/>
          <w:sz w:val="30"/>
          <w:szCs w:val="30"/>
        </w:rPr>
        <w:t>的业绩认定。申报正高职务要求</w:t>
      </w:r>
      <w:r>
        <w:rPr>
          <w:rFonts w:hint="eastAsia" w:ascii="仿宋" w:hAnsi="仿宋" w:eastAsia="仿宋" w:cs="仿宋"/>
          <w:color w:val="000000"/>
          <w:sz w:val="30"/>
          <w:szCs w:val="30"/>
          <w:lang w:eastAsia="zh-CN"/>
        </w:rPr>
        <w:t>研究</w:t>
      </w:r>
      <w:r>
        <w:rPr>
          <w:rFonts w:hint="eastAsia" w:ascii="仿宋" w:hAnsi="仿宋" w:eastAsia="仿宋" w:cs="仿宋"/>
          <w:color w:val="000000"/>
          <w:sz w:val="30"/>
          <w:szCs w:val="30"/>
        </w:rPr>
        <w:t>项目经费中与申报学科相关的不低于80%，申报副高职务不低于50%。鼓励团队合作大项目，理工类（含建筑）、人文社科</w:t>
      </w:r>
      <w:r>
        <w:rPr>
          <w:rFonts w:hint="eastAsia" w:ascii="仿宋" w:hAnsi="仿宋" w:eastAsia="仿宋" w:cs="仿宋"/>
          <w:color w:val="000000"/>
          <w:sz w:val="30"/>
          <w:szCs w:val="30"/>
          <w:lang w:eastAsia="zh-CN"/>
        </w:rPr>
        <w:t>类</w:t>
      </w:r>
      <w:r>
        <w:rPr>
          <w:rFonts w:hint="eastAsia" w:ascii="仿宋" w:hAnsi="仿宋" w:eastAsia="仿宋" w:cs="仿宋"/>
          <w:color w:val="000000"/>
          <w:sz w:val="30"/>
          <w:szCs w:val="30"/>
        </w:rPr>
        <w:t>（含艺术、体育）、设计学等学科单项到校经费不低于500万元的大额资金项目，可向校科研处提出申请，经费分配给项目第二负责人，但不超过总到校经费的50%。</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指导学生竞赛项目的等级分类以学校文件公布为准。</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十一、</w:t>
      </w:r>
      <w:r>
        <w:rPr>
          <w:rFonts w:hint="eastAsia" w:ascii="仿宋" w:hAnsi="仿宋" w:eastAsia="仿宋" w:cs="仿宋"/>
          <w:color w:val="000000"/>
          <w:sz w:val="30"/>
          <w:szCs w:val="30"/>
        </w:rPr>
        <w:t>市（厅）级科研项目不包括校级科研项目，市（厅）级奖励不包括校级奖励。</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十二、</w:t>
      </w:r>
      <w:r>
        <w:rPr>
          <w:rFonts w:hint="eastAsia" w:ascii="仿宋" w:hAnsi="仿宋" w:eastAsia="仿宋" w:cs="仿宋"/>
          <w:color w:val="000000"/>
          <w:sz w:val="30"/>
          <w:szCs w:val="30"/>
        </w:rPr>
        <w:t xml:space="preserve">科研成果奖指政府设立的科技奖、专利奖、标准贡献奖、优秀社科成果奖等。所列科研成果奖未注明排名的按参与者认定。若署名只有1人，则按主持者认定。入职我校6个月后，在省外获得的科研成果不予认定。 </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十三、</w:t>
      </w:r>
      <w:r>
        <w:rPr>
          <w:rFonts w:hint="eastAsia" w:ascii="仿宋" w:hAnsi="仿宋" w:eastAsia="仿宋" w:cs="仿宋"/>
          <w:color w:val="000000"/>
          <w:sz w:val="30"/>
          <w:szCs w:val="30"/>
        </w:rPr>
        <w:t>有国家科技奖提名资格的行业协会评审的奖项，以及国家一级学会/协会评审的科技、社科类奖项，由学术委员会认定等级。</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十四、</w:t>
      </w:r>
      <w:r>
        <w:rPr>
          <w:rFonts w:hint="eastAsia" w:ascii="仿宋" w:hAnsi="仿宋" w:eastAsia="仿宋" w:cs="仿宋"/>
          <w:color w:val="000000"/>
          <w:sz w:val="30"/>
          <w:szCs w:val="30"/>
        </w:rPr>
        <w:t>业绩时间的认定如下：所有项目均按获批时间为准进行认定。学术论文或专著、教材按发表或出版时间认定，专利按授权时间认定，获奖按证书或文件落款时间认定。</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十五、</w:t>
      </w:r>
      <w:r>
        <w:rPr>
          <w:rFonts w:hint="eastAsia" w:ascii="仿宋" w:hAnsi="仿宋" w:eastAsia="仿宋" w:cs="仿宋"/>
          <w:color w:val="000000"/>
          <w:sz w:val="30"/>
          <w:szCs w:val="30"/>
        </w:rPr>
        <w:t>申报晋升专业技术职务，所选择申报的学科应与现聘专业技术职务学科一致，不能转为业绩基本条件要求不同的学科。交叉学科教师可根据所从事的领域选择申报学科，其成果也应与所申报的学科专业相关。</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十六、</w:t>
      </w:r>
      <w:r>
        <w:rPr>
          <w:rFonts w:hint="eastAsia" w:ascii="仿宋" w:hAnsi="仿宋" w:eastAsia="仿宋" w:cs="仿宋"/>
          <w:color w:val="000000"/>
          <w:sz w:val="30"/>
          <w:szCs w:val="30"/>
        </w:rPr>
        <w:t xml:space="preserve">教学为主型教师主讲公共基础课认定范围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本科公共基础课范围：（1）数学类：高等数学（ABCD），线性代数，线性代数与解析几何，概率论与数理统计；（2）计算机基础类课程；（3）英语类：大学英语（一、二、三、四）；（4）物理类：大学物理；（5）思政类：思想道德修养与法律基础，中国近现代史纲要，毛泽东思想和中国特色社会主义理论体系概论，马克思主义基本原理，大学生心理健康教育，形势与政策；（6）体育类：体育（一、二、三、四）；（7）军事类：军事理论；（8）就业指导类：大学生职业生涯规划，大学生就业与创业指导。本科公共基础认定由校教务处负责。</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研究生公共基础课范围：（1）英语类；（2）数学类；（3）思政类：中国特色社会主义理论与实践研究，自然辩证法概论，立德树人与价值观教育，中国马克思主义与当代。研究生公共基础课认定由校研究生处负责。</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r>
        <w:rPr>
          <w:rFonts w:hint="eastAsia" w:ascii="仿宋" w:hAnsi="仿宋" w:eastAsia="仿宋" w:cs="仿宋"/>
          <w:b/>
          <w:bCs/>
          <w:color w:val="000000"/>
          <w:sz w:val="30"/>
          <w:szCs w:val="30"/>
        </w:rPr>
        <w:t>十七、</w:t>
      </w:r>
      <w:r>
        <w:rPr>
          <w:rFonts w:hint="eastAsia" w:ascii="仿宋" w:hAnsi="仿宋" w:eastAsia="仿宋" w:cs="仿宋"/>
          <w:color w:val="000000"/>
          <w:sz w:val="30"/>
          <w:szCs w:val="30"/>
        </w:rPr>
        <w:t>符合申报高级职务的成果</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w:t>
      </w:r>
      <w:r>
        <w:rPr>
          <w:rFonts w:hint="eastAsia" w:ascii="微软雅黑" w:hAnsi="微软雅黑" w:eastAsia="微软雅黑" w:cs="微软雅黑"/>
          <w:color w:val="000000"/>
          <w:sz w:val="30"/>
          <w:szCs w:val="30"/>
        </w:rPr>
        <w:t>~</w:t>
      </w:r>
      <w:r>
        <w:rPr>
          <w:rFonts w:hint="eastAsia" w:ascii="仿宋" w:hAnsi="仿宋" w:eastAsia="仿宋" w:cs="仿宋"/>
          <w:color w:val="000000"/>
          <w:sz w:val="30"/>
          <w:szCs w:val="30"/>
        </w:rPr>
        <w:t>3项的1项成果可作为符合申报高级职务的1项成果，4</w:t>
      </w:r>
      <w:r>
        <w:rPr>
          <w:rFonts w:hint="eastAsia" w:ascii="微软雅黑" w:hAnsi="微软雅黑" w:eastAsia="微软雅黑" w:cs="微软雅黑"/>
          <w:color w:val="000000"/>
          <w:sz w:val="30"/>
          <w:szCs w:val="30"/>
        </w:rPr>
        <w:t>~</w:t>
      </w:r>
      <w:r>
        <w:rPr>
          <w:rFonts w:hint="eastAsia" w:ascii="仿宋" w:hAnsi="仿宋" w:eastAsia="仿宋" w:cs="仿宋"/>
          <w:color w:val="000000"/>
          <w:sz w:val="30"/>
          <w:szCs w:val="30"/>
        </w:rPr>
        <w:t>15项不同类别的2项成果可作为符合申报高级职务的1项成果（例如2项成果分别符合第4项和第5项的成果，而不是符合第4项的成果2项）。</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1.发表“三类高质量论文”1篇。</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2.获得国家级教学成果二等奖及以上（前三名）；或获得省级教学成果奖一等奖及以上（前两名）；或获得省级教学成果奖二等奖（排名第一）。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3.获</w:t>
      </w:r>
      <w:r>
        <w:rPr>
          <w:rFonts w:hint="eastAsia" w:ascii="仿宋" w:hAnsi="仿宋" w:eastAsia="仿宋" w:cs="仿宋"/>
          <w:color w:val="000000"/>
          <w:sz w:val="30"/>
          <w:szCs w:val="30"/>
          <w:lang w:val="zh-CN"/>
        </w:rPr>
        <w:t>得</w:t>
      </w:r>
      <w:r>
        <w:rPr>
          <w:rFonts w:hint="eastAsia" w:ascii="仿宋" w:hAnsi="仿宋" w:eastAsia="仿宋" w:cs="仿宋"/>
          <w:color w:val="000000"/>
          <w:sz w:val="30"/>
          <w:szCs w:val="30"/>
        </w:rPr>
        <w:t>国家级科研成果二等奖及以上（前三名）；或获得省（部）级科研成果二等奖及以上（前两名）；或获得省（部）级科研成果三等奖（排名第一）。</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w:t>
      </w:r>
      <w:r>
        <w:rPr>
          <w:rFonts w:hint="eastAsia" w:ascii="仿宋" w:hAnsi="仿宋" w:eastAsia="仿宋" w:cs="仿宋"/>
          <w:color w:val="000000"/>
          <w:sz w:val="30"/>
          <w:szCs w:val="30"/>
          <w:lang w:val="zh-CN"/>
        </w:rPr>
        <w:t>获得中国专利金奖或中国专利优秀奖（前五名</w:t>
      </w:r>
      <w:r>
        <w:rPr>
          <w:rFonts w:hint="eastAsia" w:ascii="仿宋" w:hAnsi="仿宋" w:eastAsia="仿宋" w:cs="仿宋"/>
          <w:color w:val="000000"/>
          <w:sz w:val="30"/>
          <w:szCs w:val="30"/>
        </w:rPr>
        <w:t>）</w:t>
      </w:r>
      <w:r>
        <w:rPr>
          <w:rFonts w:hint="eastAsia" w:ascii="仿宋" w:hAnsi="仿宋" w:eastAsia="仿宋" w:cs="仿宋"/>
          <w:color w:val="000000"/>
          <w:sz w:val="30"/>
          <w:szCs w:val="30"/>
          <w:lang w:val="zh-CN"/>
        </w:rPr>
        <w:t>；</w:t>
      </w:r>
      <w:r>
        <w:rPr>
          <w:rFonts w:hint="eastAsia" w:ascii="仿宋" w:hAnsi="仿宋" w:eastAsia="仿宋" w:cs="仿宋"/>
          <w:color w:val="000000"/>
          <w:sz w:val="30"/>
          <w:szCs w:val="30"/>
        </w:rPr>
        <w:t>或获得福建省专利奖或福建省标准贡献奖（特等奖前五名、一等奖前三名、二等奖前两名、三等奖排名第一）；或获得世界三大发明奖银奖及以上；或获得设计类国际奖银奖及以上</w:t>
      </w:r>
      <w:r>
        <w:rPr>
          <w:rFonts w:hint="eastAsia" w:ascii="仿宋" w:hAnsi="仿宋" w:eastAsia="仿宋" w:cs="仿宋"/>
          <w:color w:val="000000"/>
          <w:sz w:val="30"/>
          <w:szCs w:val="30"/>
          <w:lang w:val="zh-CN"/>
        </w:rPr>
        <w:t>。</w:t>
      </w:r>
      <w:r>
        <w:rPr>
          <w:rFonts w:hint="eastAsia" w:ascii="仿宋" w:hAnsi="仿宋" w:eastAsia="仿宋" w:cs="仿宋"/>
          <w:color w:val="000000"/>
          <w:sz w:val="30"/>
          <w:szCs w:val="30"/>
        </w:rPr>
        <w:t xml:space="preserve">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5.教师本人参加由教育部、教育厅等政府机构主办的各类专业、学科或教学技能竞赛，并获得国家级三等奖及以上或省级二等奖及以上1项。</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6.</w:t>
      </w:r>
      <w:r>
        <w:rPr>
          <w:rFonts w:hint="eastAsia" w:ascii="仿宋" w:hAnsi="仿宋" w:eastAsia="仿宋" w:cs="仿宋"/>
          <w:color w:val="000000"/>
          <w:sz w:val="30"/>
          <w:szCs w:val="30"/>
          <w:lang w:val="zh-CN"/>
        </w:rPr>
        <w:t>作为第一指导教师指导学生参加竞赛取得突出成绩，其中A+类项目奖项不限，A类项目获国家级奖项或省级二等奖及以上，</w:t>
      </w:r>
      <w:r>
        <w:rPr>
          <w:rFonts w:hint="eastAsia" w:ascii="仿宋" w:hAnsi="仿宋" w:eastAsia="仿宋" w:cs="仿宋"/>
          <w:color w:val="000000"/>
          <w:sz w:val="30"/>
          <w:szCs w:val="30"/>
        </w:rPr>
        <w:t>B类项目获国家级一等奖</w:t>
      </w:r>
      <w:r>
        <w:rPr>
          <w:rFonts w:hint="eastAsia" w:ascii="仿宋" w:hAnsi="仿宋" w:eastAsia="仿宋" w:cs="仿宋"/>
          <w:color w:val="000000"/>
          <w:sz w:val="30"/>
          <w:szCs w:val="30"/>
          <w:lang w:val="zh-CN"/>
        </w:rPr>
        <w:t>。</w:t>
      </w:r>
      <w:r>
        <w:rPr>
          <w:rFonts w:hint="eastAsia" w:ascii="仿宋" w:hAnsi="仿宋" w:eastAsia="仿宋" w:cs="仿宋"/>
          <w:color w:val="000000"/>
          <w:sz w:val="30"/>
          <w:szCs w:val="30"/>
        </w:rPr>
        <w:t xml:space="preserve">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7.思想政治理论课教师指导学生参加“一‘马’当先”知识竞赛活动获得总决赛团体或个人省级二等奖及以上。</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8.由国家一级图书出版社正式出版与从事专业一致的专著、译著（限语言类专业，下同）（排名第一，本人撰写字数自然科学类10万字及以上、人文社科类15万字及以上），或主编公开出版并使用的本科教材1部（排名第一，本人撰写字数10万字及以上，提供2所及以上本科院校使用的证明）。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9.</w:t>
      </w:r>
      <w:r>
        <w:rPr>
          <w:rFonts w:hint="eastAsia" w:ascii="仿宋" w:hAnsi="仿宋" w:eastAsia="仿宋" w:cs="仿宋"/>
          <w:color w:val="000000"/>
          <w:sz w:val="30"/>
          <w:szCs w:val="30"/>
          <w:lang w:val="zh-CN"/>
        </w:rPr>
        <w:t>获得与本人从事学科方向相近的授权发明专利</w:t>
      </w:r>
      <w:r>
        <w:rPr>
          <w:rFonts w:hint="eastAsia" w:ascii="仿宋" w:hAnsi="仿宋" w:eastAsia="仿宋" w:cs="仿宋"/>
          <w:color w:val="000000"/>
          <w:sz w:val="30"/>
          <w:szCs w:val="30"/>
        </w:rPr>
        <w:t>3</w:t>
      </w:r>
      <w:r>
        <w:rPr>
          <w:rFonts w:hint="eastAsia" w:ascii="仿宋" w:hAnsi="仿宋" w:eastAsia="仿宋" w:cs="仿宋"/>
          <w:color w:val="000000"/>
          <w:sz w:val="30"/>
          <w:szCs w:val="30"/>
          <w:lang w:val="zh-CN"/>
        </w:rPr>
        <w:t>件（排名第一）；或授权发明专利获得PCT或外国授权</w:t>
      </w:r>
      <w:r>
        <w:rPr>
          <w:rFonts w:hint="eastAsia" w:ascii="仿宋" w:hAnsi="仿宋" w:eastAsia="仿宋" w:cs="仿宋"/>
          <w:color w:val="000000"/>
          <w:sz w:val="30"/>
          <w:szCs w:val="30"/>
        </w:rPr>
        <w:t>2</w:t>
      </w:r>
      <w:r>
        <w:rPr>
          <w:rFonts w:hint="eastAsia" w:ascii="仿宋" w:hAnsi="仿宋" w:eastAsia="仿宋" w:cs="仿宋"/>
          <w:color w:val="000000"/>
          <w:sz w:val="30"/>
          <w:szCs w:val="30"/>
          <w:lang w:val="zh-CN"/>
        </w:rPr>
        <w:t>件（排名第一）</w:t>
      </w:r>
      <w:r>
        <w:rPr>
          <w:rFonts w:hint="eastAsia" w:ascii="仿宋" w:hAnsi="仿宋" w:eastAsia="仿宋" w:cs="仿宋"/>
          <w:color w:val="000000"/>
          <w:sz w:val="30"/>
          <w:szCs w:val="30"/>
        </w:rPr>
        <w:t>。</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10.</w:t>
      </w:r>
      <w:r>
        <w:rPr>
          <w:rFonts w:hint="eastAsia" w:ascii="仿宋" w:hAnsi="仿宋" w:eastAsia="仿宋" w:cs="仿宋"/>
          <w:color w:val="000000"/>
          <w:sz w:val="30"/>
          <w:szCs w:val="30"/>
          <w:lang w:val="zh-CN"/>
        </w:rPr>
        <w:t>本人所撰写的研究咨询报告被省（部）级单位采纳</w:t>
      </w:r>
      <w:r>
        <w:rPr>
          <w:rFonts w:hint="eastAsia" w:ascii="仿宋" w:hAnsi="仿宋" w:eastAsia="仿宋" w:cs="仿宋"/>
          <w:color w:val="000000"/>
          <w:sz w:val="30"/>
          <w:szCs w:val="30"/>
        </w:rPr>
        <w:t>1项或</w:t>
      </w:r>
      <w:r>
        <w:rPr>
          <w:rFonts w:hint="eastAsia" w:ascii="仿宋" w:hAnsi="仿宋" w:eastAsia="仿宋" w:cs="仿宋"/>
          <w:color w:val="000000"/>
          <w:sz w:val="30"/>
          <w:szCs w:val="30"/>
          <w:lang w:val="zh-CN"/>
        </w:rPr>
        <w:t>厅（局）级单位采纳</w:t>
      </w:r>
      <w:r>
        <w:rPr>
          <w:rFonts w:hint="eastAsia" w:ascii="仿宋" w:hAnsi="仿宋" w:eastAsia="仿宋" w:cs="仿宋"/>
          <w:color w:val="000000"/>
          <w:sz w:val="30"/>
          <w:szCs w:val="30"/>
        </w:rPr>
        <w:t>2项</w:t>
      </w:r>
      <w:r>
        <w:rPr>
          <w:rFonts w:hint="eastAsia" w:ascii="仿宋" w:hAnsi="仿宋" w:eastAsia="仿宋" w:cs="仿宋"/>
          <w:color w:val="000000"/>
          <w:sz w:val="30"/>
          <w:szCs w:val="30"/>
          <w:lang w:val="zh-CN"/>
        </w:rPr>
        <w:t>，同时需提供采纳部门的有效文件证明，并经校科研处认定（不含政协、人大代表等提案）。</w:t>
      </w:r>
      <w:r>
        <w:rPr>
          <w:rFonts w:hint="eastAsia" w:ascii="仿宋" w:hAnsi="仿宋" w:eastAsia="仿宋" w:cs="仿宋"/>
          <w:color w:val="000000"/>
          <w:sz w:val="30"/>
          <w:szCs w:val="30"/>
        </w:rPr>
        <w:t xml:space="preserve">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11.制定（修订）1项国际标准（完成单位前五名、完成人前十名）；或1项国家标准（完成单位前三名、完成人前五名）；或2项行业（地方）标准（完成单位前两名、完成人前三名）。</w:t>
      </w:r>
      <w:r>
        <w:rPr>
          <w:rFonts w:hint="eastAsia" w:ascii="仿宋" w:hAnsi="仿宋" w:eastAsia="仿宋" w:cs="仿宋"/>
          <w:color w:val="000000"/>
          <w:sz w:val="30"/>
          <w:szCs w:val="30"/>
          <w:lang w:val="zh-CN"/>
        </w:rPr>
        <w:t xml:space="preserve">主持或参与（前三名）1项省（部）级及以上行业或地方技术标准、技术规范、发展规划的制定工作，且该标准、规范或规划已得到实施。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12.</w:t>
      </w:r>
      <w:r>
        <w:rPr>
          <w:rFonts w:hint="eastAsia" w:ascii="仿宋" w:hAnsi="仿宋" w:eastAsia="仿宋" w:cs="仿宋"/>
          <w:color w:val="000000"/>
          <w:sz w:val="30"/>
          <w:szCs w:val="30"/>
          <w:lang w:val="zh-CN"/>
        </w:rPr>
        <w:t>在科技成果或专利成果转化方面取得显著经济社会效益，到校经费达</w:t>
      </w:r>
      <w:r>
        <w:rPr>
          <w:rFonts w:hint="eastAsia" w:ascii="仿宋" w:hAnsi="仿宋" w:eastAsia="仿宋" w:cs="仿宋"/>
          <w:color w:val="000000"/>
          <w:sz w:val="30"/>
          <w:szCs w:val="30"/>
        </w:rPr>
        <w:t>3</w:t>
      </w:r>
      <w:r>
        <w:rPr>
          <w:rFonts w:hint="eastAsia" w:ascii="仿宋" w:hAnsi="仿宋" w:eastAsia="仿宋" w:cs="仿宋"/>
          <w:color w:val="000000"/>
          <w:sz w:val="30"/>
          <w:szCs w:val="30"/>
          <w:lang w:val="zh-CN"/>
        </w:rPr>
        <w:t>0万元及以上。（此项与项目研究经费不重复计算</w:t>
      </w:r>
      <w:r>
        <w:rPr>
          <w:rFonts w:hint="eastAsia" w:ascii="仿宋" w:hAnsi="仿宋" w:eastAsia="仿宋" w:cs="仿宋"/>
          <w:color w:val="000000"/>
          <w:sz w:val="30"/>
          <w:szCs w:val="30"/>
        </w:rPr>
        <w:t>，应签订成果转化协议、专利许可实施协议或“技术转让合同”</w:t>
      </w:r>
      <w:r>
        <w:rPr>
          <w:rFonts w:hint="eastAsia" w:ascii="仿宋" w:hAnsi="仿宋" w:eastAsia="仿宋" w:cs="仿宋"/>
          <w:color w:val="000000"/>
          <w:sz w:val="30"/>
          <w:szCs w:val="30"/>
          <w:lang w:val="zh-CN"/>
        </w:rPr>
        <w:t>）</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13.</w:t>
      </w:r>
      <w:r>
        <w:rPr>
          <w:rFonts w:hint="eastAsia" w:ascii="仿宋" w:hAnsi="仿宋" w:eastAsia="仿宋" w:cs="仿宋"/>
          <w:color w:val="000000"/>
          <w:sz w:val="30"/>
          <w:szCs w:val="30"/>
          <w:lang w:val="zh-CN"/>
        </w:rPr>
        <w:t>艺术类教师（含戏剧戏曲、影视、艺术设计、书法、摄影专业等，下同），本人在专业美术出版社出版画册1部（本人作品不少于50幅）；或本人独立</w:t>
      </w:r>
      <w:r>
        <w:rPr>
          <w:rFonts w:hint="eastAsia" w:ascii="仿宋" w:hAnsi="仿宋" w:eastAsia="仿宋" w:cs="仿宋"/>
          <w:color w:val="000000"/>
          <w:sz w:val="30"/>
          <w:szCs w:val="30"/>
        </w:rPr>
        <w:t>完成（创作、设计等）作品入选国家一级专业协会（中国美术家协会、中国音乐家协会）或中宣部、文化部、科技部、教育部、中央电视台举办的专业展览（比赛）；或本人独立完成（创作、设计等）作品在省级及以上（省美术家协会、省音乐家协会、省委宣传部、文化厅、科技厅、教育厅、省级电视台）专业比赛（展览）中获二等奖及以上1项；</w:t>
      </w:r>
      <w:r>
        <w:rPr>
          <w:rFonts w:hint="eastAsia" w:ascii="仿宋" w:hAnsi="仿宋" w:eastAsia="仿宋" w:cs="仿宋"/>
          <w:color w:val="000000"/>
          <w:sz w:val="30"/>
          <w:szCs w:val="30"/>
          <w:lang w:val="zh-CN"/>
        </w:rPr>
        <w:t>或本人在专业出版社出版个人独唱、独奏、作品音像制品专辑1部；或在核心及以上的专业期刊发表艺术作品</w:t>
      </w:r>
      <w:r>
        <w:rPr>
          <w:rFonts w:hint="eastAsia" w:ascii="仿宋" w:hAnsi="仿宋" w:eastAsia="仿宋" w:cs="仿宋"/>
          <w:color w:val="000000"/>
          <w:sz w:val="30"/>
          <w:szCs w:val="30"/>
        </w:rPr>
        <w:t>2</w:t>
      </w:r>
      <w:r>
        <w:rPr>
          <w:rFonts w:hint="eastAsia" w:ascii="仿宋" w:hAnsi="仿宋" w:eastAsia="仿宋" w:cs="仿宋"/>
          <w:color w:val="000000"/>
          <w:sz w:val="30"/>
          <w:szCs w:val="30"/>
          <w:lang w:val="zh-CN"/>
        </w:rPr>
        <w:t>幅及以上，所发表的作品均不少于</w:t>
      </w:r>
      <w:r>
        <w:rPr>
          <w:rFonts w:hint="eastAsia" w:ascii="仿宋" w:hAnsi="仿宋" w:eastAsia="仿宋" w:cs="仿宋"/>
          <w:color w:val="000000"/>
          <w:sz w:val="30"/>
          <w:szCs w:val="30"/>
        </w:rPr>
        <w:t>1/2页面</w:t>
      </w:r>
      <w:r>
        <w:rPr>
          <w:rFonts w:hint="eastAsia" w:ascii="仿宋" w:hAnsi="仿宋" w:eastAsia="仿宋" w:cs="仿宋"/>
          <w:color w:val="000000"/>
          <w:sz w:val="30"/>
          <w:szCs w:val="30"/>
          <w:lang w:val="zh-CN"/>
        </w:rPr>
        <w:t>。</w:t>
      </w:r>
      <w:r>
        <w:rPr>
          <w:rFonts w:hint="eastAsia" w:ascii="仿宋" w:hAnsi="仿宋" w:eastAsia="仿宋" w:cs="仿宋"/>
          <w:color w:val="000000"/>
          <w:sz w:val="30"/>
          <w:szCs w:val="30"/>
        </w:rPr>
        <w:t xml:space="preserve"> </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lang w:val="zh-CN"/>
        </w:rPr>
      </w:pPr>
      <w:r>
        <w:rPr>
          <w:rFonts w:hint="eastAsia" w:ascii="仿宋" w:hAnsi="仿宋" w:eastAsia="仿宋" w:cs="仿宋"/>
          <w:color w:val="000000"/>
          <w:sz w:val="30"/>
          <w:szCs w:val="30"/>
        </w:rPr>
        <w:t>14.</w:t>
      </w:r>
      <w:r>
        <w:rPr>
          <w:rFonts w:hint="eastAsia" w:ascii="仿宋" w:hAnsi="仿宋" w:eastAsia="仿宋" w:cs="仿宋"/>
          <w:color w:val="000000"/>
          <w:sz w:val="30"/>
          <w:szCs w:val="30"/>
          <w:lang w:val="zh-CN"/>
        </w:rPr>
        <w:t>体育专业教师，独立指导或第一指导的学生获得全国大学生运动会单项前六名、团体前八名；或获得全国大学生体育联赛单项前六名、团体前六名；或获得福建省运动会单项第一名、团体前四名；或获得</w:t>
      </w:r>
      <w:r>
        <w:rPr>
          <w:rFonts w:hint="eastAsia" w:ascii="仿宋" w:hAnsi="仿宋" w:eastAsia="仿宋" w:cs="仿宋"/>
          <w:color w:val="000000"/>
          <w:sz w:val="30"/>
          <w:szCs w:val="30"/>
        </w:rPr>
        <w:t>2次</w:t>
      </w:r>
      <w:r>
        <w:rPr>
          <w:rFonts w:hint="eastAsia" w:ascii="仿宋" w:hAnsi="仿宋" w:eastAsia="仿宋" w:cs="仿宋"/>
          <w:color w:val="000000"/>
          <w:sz w:val="30"/>
          <w:szCs w:val="30"/>
          <w:lang w:val="zh-CN"/>
        </w:rPr>
        <w:t>福建省大学生体育联赛单项第一名、团体一等奖。</w:t>
      </w:r>
    </w:p>
    <w:p>
      <w:pPr>
        <w:keepNext w:val="0"/>
        <w:pageBreakBefore w:val="0"/>
        <w:wordWrap/>
        <w:topLinePunct w:val="0"/>
        <w:autoSpaceDE/>
        <w:autoSpaceDN/>
        <w:bidi w:val="0"/>
        <w:adjustRightInd/>
        <w:snapToGrid/>
        <w:spacing w:line="500" w:lineRule="exact"/>
        <w:ind w:firstLine="600" w:firstLineChars="200"/>
        <w:jc w:val="both"/>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15.在《福建工程学院学报》发表2篇学术论文，其中1篇被评为学校年度优秀论文。</w:t>
      </w:r>
    </w:p>
    <w:p>
      <w:pPr>
        <w:keepNext w:val="0"/>
        <w:pageBreakBefore w:val="0"/>
        <w:wordWrap/>
        <w:topLinePunct w:val="0"/>
        <w:autoSpaceDE/>
        <w:autoSpaceDN/>
        <w:bidi w:val="0"/>
        <w:adjustRightInd/>
        <w:snapToGrid/>
        <w:spacing w:line="500" w:lineRule="exact"/>
        <w:ind w:firstLine="602" w:firstLineChars="200"/>
        <w:jc w:val="both"/>
        <w:textAlignment w:val="auto"/>
        <w:rPr>
          <w:rFonts w:hint="eastAsia" w:ascii="仿宋" w:hAnsi="仿宋" w:eastAsia="仿宋" w:cs="仿宋"/>
          <w:color w:val="000000"/>
          <w:sz w:val="30"/>
          <w:szCs w:val="30"/>
        </w:rPr>
      </w:pPr>
      <w:bookmarkStart w:id="0" w:name="_GoBack"/>
      <w:r>
        <w:rPr>
          <w:rFonts w:hint="eastAsia" w:ascii="仿宋" w:hAnsi="仿宋" w:eastAsia="仿宋" w:cs="仿宋"/>
          <w:b/>
          <w:bCs/>
          <w:color w:val="000000"/>
          <w:sz w:val="30"/>
          <w:szCs w:val="30"/>
        </w:rPr>
        <w:t>十八、</w:t>
      </w:r>
      <w:bookmarkEnd w:id="0"/>
      <w:r>
        <w:rPr>
          <w:rFonts w:hint="eastAsia" w:ascii="仿宋" w:hAnsi="仿宋" w:eastAsia="仿宋" w:cs="仿宋"/>
          <w:color w:val="000000"/>
          <w:sz w:val="30"/>
          <w:szCs w:val="30"/>
        </w:rPr>
        <w:t>文中所述的“其他相当水平的业绩”、“单项业绩特别突出的认定”</w:t>
      </w:r>
      <w:r>
        <w:rPr>
          <w:rFonts w:hint="eastAsia" w:ascii="仿宋" w:hAnsi="仿宋" w:eastAsia="仿宋" w:cs="仿宋"/>
          <w:color w:val="000000"/>
          <w:sz w:val="30"/>
          <w:szCs w:val="30"/>
          <w:lang w:eastAsia="zh-CN"/>
        </w:rPr>
        <w:t>、“重大合作课题”</w:t>
      </w:r>
      <w:r>
        <w:rPr>
          <w:rFonts w:hint="eastAsia" w:ascii="仿宋" w:hAnsi="仿宋" w:eastAsia="仿宋" w:cs="仿宋"/>
          <w:color w:val="000000"/>
          <w:sz w:val="30"/>
          <w:szCs w:val="30"/>
        </w:rPr>
        <w:t>等由学术分委会或所在部门评议，若同意推荐，则</w:t>
      </w:r>
      <w:r>
        <w:rPr>
          <w:rFonts w:hint="eastAsia" w:ascii="仿宋" w:hAnsi="仿宋" w:eastAsia="仿宋" w:cs="仿宋"/>
          <w:color w:val="000000"/>
          <w:sz w:val="30"/>
          <w:szCs w:val="30"/>
          <w:lang w:eastAsia="zh-CN"/>
        </w:rPr>
        <w:t>经相关职能部门审核后</w:t>
      </w:r>
      <w:r>
        <w:rPr>
          <w:rFonts w:hint="eastAsia" w:ascii="仿宋" w:hAnsi="仿宋" w:eastAsia="仿宋" w:cs="仿宋"/>
          <w:color w:val="000000"/>
          <w:sz w:val="30"/>
          <w:szCs w:val="30"/>
        </w:rPr>
        <w:t>提交校学术委员会认定。对本文件中所规定的业绩认定有异议的，由个人申请，学术分委员会或所在部门研究提出意见，提交校学术委员会裁定。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0A085E"/>
    <w:rsid w:val="4D3110E1"/>
    <w:rsid w:val="730A08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Times New Roman"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sz w:val="20"/>
    </w:rPr>
  </w:style>
  <w:style w:type="paragraph" w:styleId="3">
    <w:name w:val="Body Text"/>
    <w:basedOn w:val="1"/>
    <w:unhideWhenUsed/>
    <w:qFormat/>
    <w:uiPriority w:val="1"/>
    <w:pPr>
      <w:ind w:left="111"/>
    </w:pPr>
    <w:rPr>
      <w:rFonts w:hint="eastAsia" w:ascii="仿宋" w:hAnsi="仿宋" w:eastAsia="仿宋"/>
      <w:sz w:val="32"/>
    </w:rPr>
  </w:style>
  <w:style w:type="paragraph" w:styleId="4">
    <w:name w:val="Body Text Indent"/>
    <w:basedOn w:val="1"/>
    <w:unhideWhenUsed/>
    <w:qFormat/>
    <w:uiPriority w:val="0"/>
    <w:pPr>
      <w:ind w:firstLine="560" w:firstLineChars="200"/>
    </w:pPr>
    <w:rPr>
      <w:rFonts w:eastAsia="仿宋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2020-12-25T05:04:00Z</dcterms:created>
  <dc:creator>缘聚缘散</dc:creator>
  <cp:lastModifiedBy>缘聚缘散</cp:lastModifiedBy>
  <dcterms:modified xsi:type="dcterms:W3CDTF">2020-12-25T05:08:00Z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