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156" w:afterLines="50" w:line="240" w:lineRule="auto"/>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附件12：</w:t>
      </w:r>
    </w:p>
    <w:p>
      <w:pPr>
        <w:pStyle w:val="3"/>
        <w:keepNext w:val="0"/>
        <w:keepLines/>
        <w:pageBreakBefore w:val="0"/>
        <w:wordWrap/>
        <w:overflowPunct w:val="0"/>
        <w:topLinePunct w:val="0"/>
        <w:bidi w:val="0"/>
        <w:snapToGrid/>
        <w:spacing w:before="156" w:beforeLines="50" w:line="500" w:lineRule="exact"/>
        <w:ind w:left="0"/>
        <w:jc w:val="center"/>
        <w:textAlignment w:val="auto"/>
        <w:rPr>
          <w:rFonts w:hint="eastAsia" w:ascii="仿宋" w:hAnsi="仿宋" w:eastAsia="仿宋" w:cs="仿宋"/>
          <w:b/>
          <w:bCs/>
          <w:color w:val="000000"/>
          <w:spacing w:val="-11"/>
          <w:sz w:val="32"/>
          <w:szCs w:val="32"/>
        </w:rPr>
      </w:pPr>
      <w:bookmarkStart w:id="0" w:name="_GoBack"/>
      <w:r>
        <w:rPr>
          <w:rFonts w:hint="eastAsia" w:ascii="仿宋" w:hAnsi="仿宋" w:eastAsia="仿宋" w:cs="仿宋"/>
          <w:b/>
          <w:bCs/>
          <w:color w:val="000000"/>
          <w:spacing w:val="-11"/>
          <w:sz w:val="32"/>
          <w:szCs w:val="32"/>
        </w:rPr>
        <w:t>特殊人才申报高级职务业绩基本条件</w:t>
      </w:r>
    </w:p>
    <w:bookmarkEnd w:id="0"/>
    <w:p>
      <w:pPr>
        <w:keepNext w:val="0"/>
        <w:pageBreakBefore w:val="0"/>
        <w:wordWrap/>
        <w:topLinePunct w:val="0"/>
        <w:bidi w:val="0"/>
        <w:snapToGrid/>
        <w:spacing w:line="500" w:lineRule="exact"/>
        <w:jc w:val="center"/>
        <w:textAlignment w:val="auto"/>
        <w:rPr>
          <w:rFonts w:hint="eastAsia" w:ascii="仿宋" w:hAnsi="仿宋" w:eastAsia="仿宋" w:cs="仿宋"/>
          <w:b/>
          <w:color w:val="000000"/>
          <w:sz w:val="30"/>
          <w:szCs w:val="30"/>
        </w:rPr>
      </w:pPr>
    </w:p>
    <w:p>
      <w:pPr>
        <w:keepNext w:val="0"/>
        <w:pageBreakBefore w:val="0"/>
        <w:wordWrap/>
        <w:topLinePunct w:val="0"/>
        <w:autoSpaceDE/>
        <w:autoSpaceDN/>
        <w:bidi w:val="0"/>
        <w:adjustRightInd/>
        <w:snapToGrid/>
        <w:spacing w:line="50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特殊人才，是指在取得特别突出的教学科研成果或为经济社会发展建设作出重大贡献的在岗的教师、实验技术人员和自然科学研究人员。特殊人才可不受学历、资历等条件限制，直接申请聘任相应高级职务，业绩成果应以我校为第一署名单位，本人排名第一。</w:t>
      </w:r>
    </w:p>
    <w:p>
      <w:pPr>
        <w:keepNext w:val="0"/>
        <w:pageBreakBefore w:val="0"/>
        <w:wordWrap/>
        <w:topLinePunct w:val="0"/>
        <w:bidi w:val="0"/>
        <w:snapToGrid/>
        <w:spacing w:before="156" w:beforeLines="50" w:line="500" w:lineRule="exact"/>
        <w:ind w:firstLine="626" w:firstLineChars="208"/>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一、正高级职务，业绩须满足下列条件之一：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1.入选省（部）级及以上高层次人才计划。</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2.获得国家级科学技术奖或教育部人文社科奖。</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3.获得国家级教学成果奖一等奖。</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dstrike/>
          <w:color w:val="000000"/>
          <w:sz w:val="30"/>
          <w:szCs w:val="30"/>
        </w:rPr>
      </w:pPr>
      <w:r>
        <w:rPr>
          <w:rFonts w:hint="eastAsia" w:ascii="仿宋" w:hAnsi="仿宋" w:eastAsia="仿宋" w:cs="仿宋"/>
          <w:color w:val="000000"/>
          <w:sz w:val="30"/>
          <w:szCs w:val="30"/>
        </w:rPr>
        <w:t>4.国家科技计划项目、国家自然科学基金重点及以上项目、国家社会科学基金重大、重点项目负责人，教育部重大攻关招标项目负责人。</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5.发表“A类高质量论文”5篇。</w:t>
      </w:r>
    </w:p>
    <w:p>
      <w:pPr>
        <w:keepNext w:val="0"/>
        <w:pageBreakBefore w:val="0"/>
        <w:wordWrap/>
        <w:topLinePunct w:val="0"/>
        <w:bidi w:val="0"/>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6.在Science、Nature、Cell等国际顶级期刊发表1篇学术论文，或在其子刊（须由学术委员会认定）发表学术论文2篇。</w:t>
      </w:r>
    </w:p>
    <w:p>
      <w:pPr>
        <w:keepNext w:val="0"/>
        <w:pageBreakBefore w:val="0"/>
        <w:wordWrap/>
        <w:topLinePunct w:val="0"/>
        <w:bidi w:val="0"/>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7.其他相当水平的业绩。</w:t>
      </w:r>
    </w:p>
    <w:p>
      <w:pPr>
        <w:keepNext w:val="0"/>
        <w:pageBreakBefore w:val="0"/>
        <w:wordWrap/>
        <w:topLinePunct w:val="0"/>
        <w:bidi w:val="0"/>
        <w:snapToGrid/>
        <w:spacing w:before="156" w:beforeLines="50" w:line="500" w:lineRule="exact"/>
        <w:ind w:firstLine="626" w:firstLineChars="208"/>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二、副高级职务，业绩须满足下列条件之一：</w:t>
      </w:r>
    </w:p>
    <w:p>
      <w:pPr>
        <w:keepNext w:val="0"/>
        <w:pageBreakBefore w:val="0"/>
        <w:wordWrap/>
        <w:topLinePunct w:val="0"/>
        <w:autoSpaceDE/>
        <w:autoSpaceDN/>
        <w:bidi w:val="0"/>
        <w:adjustRightInd/>
        <w:snapToGrid/>
        <w:spacing w:line="50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1.获得省（部）级科学技术成果奖或省（部）级社会科学优秀成果一等奖及以上。</w:t>
      </w:r>
    </w:p>
    <w:p>
      <w:pPr>
        <w:keepNext w:val="0"/>
        <w:pageBreakBefore w:val="0"/>
        <w:wordWrap/>
        <w:topLinePunct w:val="0"/>
        <w:autoSpaceDE/>
        <w:autoSpaceDN/>
        <w:bidi w:val="0"/>
        <w:adjustRightInd/>
        <w:snapToGrid/>
        <w:spacing w:line="50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2.获得</w:t>
      </w:r>
      <w:r>
        <w:rPr>
          <w:rFonts w:hint="eastAsia" w:ascii="仿宋" w:hAnsi="仿宋" w:eastAsia="仿宋" w:cs="仿宋"/>
          <w:color w:val="000000"/>
          <w:sz w:val="30"/>
          <w:szCs w:val="30"/>
          <w:lang w:val="zh-CN"/>
        </w:rPr>
        <w:t>中国专利金奖或中国专利优秀奖或省标准贡献一等奖</w:t>
      </w:r>
      <w:r>
        <w:rPr>
          <w:rFonts w:hint="eastAsia" w:ascii="仿宋" w:hAnsi="仿宋" w:eastAsia="仿宋" w:cs="仿宋"/>
          <w:color w:val="000000"/>
          <w:sz w:val="30"/>
          <w:szCs w:val="30"/>
        </w:rPr>
        <w:t>。</w:t>
      </w:r>
    </w:p>
    <w:p>
      <w:pPr>
        <w:keepNext w:val="0"/>
        <w:pageBreakBefore w:val="0"/>
        <w:wordWrap/>
        <w:topLinePunct w:val="0"/>
        <w:autoSpaceDE/>
        <w:autoSpaceDN/>
        <w:bidi w:val="0"/>
        <w:adjustRightInd/>
        <w:snapToGrid/>
        <w:spacing w:line="50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3.获得省级教学成果一等奖及以上。</w:t>
      </w:r>
    </w:p>
    <w:p>
      <w:pPr>
        <w:keepNext w:val="0"/>
        <w:pageBreakBefore w:val="0"/>
        <w:wordWrap/>
        <w:topLinePunct w:val="0"/>
        <w:autoSpaceDE/>
        <w:autoSpaceDN/>
        <w:bidi w:val="0"/>
        <w:adjustRightInd/>
        <w:snapToGrid/>
        <w:spacing w:line="50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4.获得授权发明专利4项并至少有1项专利实现了成果转化，</w:t>
      </w:r>
      <w:r>
        <w:rPr>
          <w:rFonts w:hint="eastAsia" w:ascii="仿宋" w:hAnsi="仿宋" w:eastAsia="仿宋" w:cs="仿宋"/>
          <w:color w:val="000000"/>
          <w:sz w:val="30"/>
          <w:szCs w:val="30"/>
          <w:lang w:val="zh-CN"/>
        </w:rPr>
        <w:t>学校净收益</w:t>
      </w:r>
      <w:r>
        <w:rPr>
          <w:rFonts w:hint="eastAsia" w:ascii="仿宋" w:hAnsi="仿宋" w:eastAsia="仿宋" w:cs="仿宋"/>
          <w:color w:val="000000"/>
          <w:sz w:val="30"/>
          <w:szCs w:val="30"/>
        </w:rPr>
        <w:t>达100万元及以上。</w:t>
      </w:r>
    </w:p>
    <w:p>
      <w:pPr>
        <w:keepNext w:val="0"/>
        <w:pageBreakBefore w:val="0"/>
        <w:wordWrap/>
        <w:topLinePunct w:val="0"/>
        <w:bidi w:val="0"/>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5.发表“A类高质量论文”3篇。</w:t>
      </w:r>
    </w:p>
    <w:p>
      <w:pPr>
        <w:keepNext w:val="0"/>
        <w:pageBreakBefore w:val="0"/>
        <w:wordWrap/>
        <w:topLinePunct w:val="0"/>
        <w:bidi w:val="0"/>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6.其他相当水平的业绩。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E12D4"/>
    <w:rsid w:val="53DE12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sz w:val="20"/>
    </w:rPr>
  </w:style>
  <w:style w:type="paragraph" w:styleId="3">
    <w:name w:val="Body Text"/>
    <w:basedOn w:val="1"/>
    <w:unhideWhenUsed/>
    <w:qFormat/>
    <w:uiPriority w:val="1"/>
    <w:pPr>
      <w:ind w:left="111"/>
    </w:pPr>
    <w:rPr>
      <w:rFonts w:hint="eastAsia" w:ascii="仿宋" w:hAnsi="仿宋" w:eastAsia="仿宋"/>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2020-12-25T04:59:00Z</dcterms:created>
  <dc:creator>缘聚缘散</dc:creator>
  <cp:lastModifiedBy>缘聚缘散</cp:lastModifiedBy>
  <dcterms:modified xsi:type="dcterms:W3CDTF">2020-12-25T05:00:55Z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