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4B" w:rsidRDefault="002B684B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2B684B" w:rsidRDefault="002B684B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2B684B" w:rsidRDefault="005950D7">
      <w:pPr>
        <w:tabs>
          <w:tab w:val="left" w:pos="7293"/>
          <w:tab w:val="left" w:pos="7377"/>
        </w:tabs>
        <w:spacing w:line="900" w:lineRule="exact"/>
        <w:ind w:leftChars="-95" w:left="-1" w:rightChars="25" w:right="53" w:hangingChars="33" w:hanging="198"/>
        <w:jc w:val="distribute"/>
        <w:rPr>
          <w:rFonts w:ascii="宋体" w:eastAsia="方正小标宋简体" w:hAnsi="宋体"/>
          <w:color w:val="FF0000"/>
          <w:sz w:val="60"/>
          <w:szCs w:val="72"/>
        </w:rPr>
      </w:pPr>
      <w:r>
        <w:rPr>
          <w:rFonts w:ascii="宋体" w:eastAsia="方正小标宋简体" w:hAnsi="宋体" w:hint="eastAsia"/>
          <w:color w:val="FF0000"/>
          <w:sz w:val="60"/>
          <w:szCs w:val="72"/>
        </w:rPr>
        <w:t>共青团福建省委</w:t>
      </w:r>
    </w:p>
    <w:p w:rsidR="002B684B" w:rsidRDefault="005950D7">
      <w:pPr>
        <w:tabs>
          <w:tab w:val="left" w:pos="7293"/>
          <w:tab w:val="left" w:pos="7377"/>
        </w:tabs>
        <w:spacing w:line="900" w:lineRule="exact"/>
        <w:ind w:rightChars="25" w:right="53"/>
        <w:jc w:val="distribute"/>
        <w:rPr>
          <w:rFonts w:ascii="宋体" w:eastAsia="方正小标宋简体" w:hAnsi="宋体"/>
          <w:color w:val="000000"/>
          <w:sz w:val="60"/>
          <w:szCs w:val="72"/>
        </w:rPr>
      </w:pPr>
      <w:r>
        <w:rPr>
          <w:noProof/>
          <w:color w:val="FF0000"/>
          <w:sz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0</wp:posOffset>
                </wp:positionV>
                <wp:extent cx="5827395" cy="6508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684B" w:rsidRDefault="005950D7" w:rsidP="00534DFA">
                            <w:pPr>
                              <w:pStyle w:val="a5"/>
                              <w:ind w:leftChars="-95" w:left="2" w:rightChars="-69" w:right="-145" w:hangingChars="38" w:hanging="201"/>
                              <w:jc w:val="center"/>
                              <w:rPr>
                                <w:rFonts w:eastAsia="方正仿宋_GBK" w:hAnsi="宋体"/>
                                <w:color w:val="FF0000"/>
                                <w:spacing w:val="9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eastAsia="方正小标宋简体" w:hAnsi="宋体" w:hint="eastAsia"/>
                                <w:color w:val="FF0000"/>
                                <w:spacing w:val="9"/>
                                <w:sz w:val="51"/>
                                <w:szCs w:val="51"/>
                              </w:rPr>
                              <w:t>中共福建省委人才工作领导小组办公室</w:t>
                            </w:r>
                          </w:p>
                          <w:p w:rsidR="002B684B" w:rsidRDefault="002B68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1.6pt;margin-top:0pt;height:51.25pt;width:458.85pt;z-index:251665408;mso-width-relative:page;mso-height-relative:page;" filled="f" stroked="f" coordsize="21600,21600" o:gfxdata="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TIM09kAAAAIAQAADwAAAAAAAAABACAAAAAiAAAAZHJzL2Rvd25yZXYueG1sUEsBAhQAFAAAAAgA&#10;h07iQLroNNwkAgAAJ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left="1" w:leftChars="-95" w:right="-145" w:rightChars="-69" w:hanging="200" w:hangingChars="38"/>
                        <w:jc w:val="center"/>
                        <w:rPr>
                          <w:rFonts w:hAnsi="宋体" w:eastAsia="方正仿宋_GBK"/>
                          <w:color w:val="FF0000"/>
                          <w:spacing w:val="9"/>
                          <w:sz w:val="51"/>
                          <w:szCs w:val="51"/>
                        </w:rPr>
                      </w:pPr>
                      <w:r>
                        <w:rPr>
                          <w:rFonts w:hint="eastAsia" w:hAnsi="宋体" w:eastAsia="方正小标宋简体"/>
                          <w:color w:val="FF0000"/>
                          <w:spacing w:val="9"/>
                          <w:sz w:val="51"/>
                          <w:szCs w:val="51"/>
                        </w:rPr>
                        <w:t>中共福建省委人才工作领导小组办公室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84B" w:rsidRDefault="002B684B">
      <w:pPr>
        <w:tabs>
          <w:tab w:val="left" w:pos="7293"/>
          <w:tab w:val="left" w:pos="7377"/>
        </w:tabs>
        <w:spacing w:line="900" w:lineRule="exact"/>
        <w:ind w:rightChars="25" w:right="53"/>
        <w:jc w:val="distribute"/>
        <w:rPr>
          <w:rFonts w:ascii="宋体" w:eastAsia="方正小标宋简体" w:hAnsi="宋体"/>
          <w:color w:val="000000"/>
          <w:sz w:val="60"/>
          <w:szCs w:val="72"/>
        </w:rPr>
      </w:pPr>
    </w:p>
    <w:p w:rsidR="002B684B" w:rsidRDefault="005950D7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团闽委联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B684B" w:rsidRDefault="005950D7">
      <w:pPr>
        <w:pStyle w:val="a5"/>
        <w:spacing w:line="400" w:lineRule="exact"/>
        <w:jc w:val="left"/>
        <w:rPr>
          <w:rFonts w:eastAsia="仿宋_GB2312" w:hAnsi="宋体"/>
          <w:color w:val="000000"/>
          <w:sz w:val="32"/>
          <w:szCs w:val="32"/>
        </w:rPr>
      </w:pPr>
      <w:r>
        <w:rPr>
          <w:rFonts w:eastAsia="仿宋_GB2312" w:hAnsi="宋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171450</wp:posOffset>
                </wp:positionV>
                <wp:extent cx="5943600" cy="15240"/>
                <wp:effectExtent l="0" t="9525" r="0" b="13335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52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-14.15pt;margin-top:13.5pt;height:1.2pt;width:468pt;z-index:251661312;mso-width-relative:page;mso-height-relative:page;" filled="f" stroked="t" coordsize="21600,21600" o:gfxdata="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ndtNzZAAAACQEAAA8AAAAA&#10;AAAAAQAgAAAAIgAAAGRycy9kb3ducmV2LnhtbFBLAQIUABQAAAAIAIdO4kCu0sXM2gEAAKA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B684B" w:rsidRDefault="005950D7">
      <w:pPr>
        <w:pStyle w:val="a9"/>
        <w:shd w:val="clear" w:color="auto" w:fill="FFFFFF"/>
        <w:spacing w:before="0" w:beforeAutospacing="0" w:after="0" w:afterAutospacing="0" w:line="600" w:lineRule="exact"/>
        <w:rPr>
          <w:color w:val="333333"/>
        </w:rPr>
      </w:pPr>
      <w:r>
        <w:rPr>
          <w:color w:val="333333"/>
        </w:rPr>
        <w:t xml:space="preserve">　　</w:t>
      </w:r>
    </w:p>
    <w:p w:rsidR="002B684B" w:rsidRDefault="005950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共青团福建省委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中共福建省委人才工作领导小组办公室关于开展福建省第</w:t>
      </w:r>
      <w:r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批引进台湾</w:t>
      </w:r>
    </w:p>
    <w:p w:rsidR="002B684B" w:rsidRDefault="005950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高层次人才“百人计划”遴选工作的通知</w:t>
      </w:r>
    </w:p>
    <w:p w:rsidR="002B684B" w:rsidRDefault="002B684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2B684B" w:rsidRDefault="005950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各设区市团委、人才办，平潭综合实验区团委、人才办，省直机关团工委，省教育团工委，省国</w:t>
      </w:r>
      <w:proofErr w:type="gramStart"/>
      <w:r>
        <w:rPr>
          <w:rFonts w:ascii="仿宋_GB2312" w:eastAsia="仿宋_GB2312" w:hint="eastAsia"/>
          <w:sz w:val="32"/>
          <w:szCs w:val="32"/>
        </w:rPr>
        <w:t>资委团工委</w:t>
      </w:r>
      <w:proofErr w:type="gramEnd"/>
      <w:r>
        <w:rPr>
          <w:rFonts w:ascii="仿宋_GB2312" w:eastAsia="仿宋_GB2312" w:hint="eastAsia"/>
          <w:sz w:val="32"/>
          <w:szCs w:val="32"/>
        </w:rPr>
        <w:t>，各直属高校团委、人才办，各直属企业团委、组织人事部门，福建金融团工委：</w:t>
      </w:r>
    </w:p>
    <w:p w:rsidR="002B684B" w:rsidRDefault="005950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根据《中共福建省委人才工作领导小组关于印发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福建省引进台湾高层次人才“百人计划”遴选办法（试行）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等五个文件的通知》（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闽委人才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号）文件要求，经研究，现决定开展福建省第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批引进台湾高层次人才“百人计划”遴选工作，现将有关事项通知如下。</w:t>
      </w:r>
    </w:p>
    <w:p w:rsidR="002B684B" w:rsidRDefault="005950D7">
      <w:pPr>
        <w:pStyle w:val="ListParagraph1"/>
        <w:spacing w:line="560" w:lineRule="exact"/>
        <w:ind w:left="64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一、遴选范围与对象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面向各类企事业单位和其他社会经济组织，遴选高层次创业创新台湾人才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名左右。重点遴选电子信息、装备制造、石油化工、生物及新医药、新材料、新能源、海洋工程、现代农业、文化创意产业、金融业、现代物流等领域紧缺急需人才。</w:t>
      </w:r>
    </w:p>
    <w:p w:rsidR="002B684B" w:rsidRDefault="005950D7">
      <w:pPr>
        <w:pStyle w:val="ListParagraph1"/>
        <w:spacing w:line="560" w:lineRule="exact"/>
        <w:ind w:left="640"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二、遴选条件</w:t>
      </w:r>
    </w:p>
    <w:p w:rsidR="002B684B" w:rsidRDefault="005950D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（一）引进台湾高层次人才“百人计划”应符合下列基本条件：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持有台湾身份证的台湾地区居民；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申报时在福建省内工作；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拟继续在福建省内工作或服务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年以上的（根据与用人单位签订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年以上合同等确定）；</w:t>
      </w:r>
    </w:p>
    <w:p w:rsidR="002B684B" w:rsidRDefault="005950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ascii="仿宋_GB2312" w:eastAsia="仿宋_GB2312" w:hint="eastAsia"/>
          <w:sz w:val="32"/>
          <w:szCs w:val="32"/>
        </w:rPr>
        <w:t>支持两岸关系和平发展，政治上无台独倾向。</w:t>
      </w:r>
    </w:p>
    <w:p w:rsidR="002B684B" w:rsidRDefault="005950D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（二）引进台湾高层次人才“百人计划”，还应已入选福建省下列人才计划（项目）之一：</w:t>
      </w:r>
    </w:p>
    <w:p w:rsidR="002B684B" w:rsidRDefault="005950D7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福建省引进高层次人才（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类）；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福建省引进台湾高层次人才；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留学人员创业启动支持计划；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互联网优秀人才创业启动支持计划；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台湾青年人才创业启动支持计划；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福建省高校台湾教师引进计划；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福建省特聘台湾专才；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省教育厅实施的高等学校高层次人才培养与引进“三项</w:t>
      </w:r>
      <w:r>
        <w:rPr>
          <w:rFonts w:ascii="仿宋_GB2312" w:eastAsia="仿宋_GB2312" w:hint="eastAsia"/>
          <w:sz w:val="32"/>
          <w:szCs w:val="32"/>
        </w:rPr>
        <w:lastRenderedPageBreak/>
        <w:t>计划”；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省卫计委实施的高层次卫生人才队伍建设“四项目”；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符合福建省紧缺急需人才引进指导目录，且经省</w:t>
      </w:r>
      <w:proofErr w:type="gramStart"/>
      <w:r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认定的引进人才；</w:t>
      </w:r>
    </w:p>
    <w:p w:rsidR="002B684B" w:rsidRDefault="005950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11.</w:t>
      </w:r>
      <w:r>
        <w:rPr>
          <w:rFonts w:ascii="仿宋_GB2312" w:eastAsia="仿宋_GB2312" w:hint="eastAsia"/>
          <w:sz w:val="32"/>
          <w:szCs w:val="32"/>
        </w:rPr>
        <w:t>设区市、平潭综合实验区人才引进计划（项目）。</w:t>
      </w:r>
    </w:p>
    <w:p w:rsidR="002B684B" w:rsidRDefault="005950D7">
      <w:pPr>
        <w:pStyle w:val="ListParagraph1"/>
        <w:spacing w:line="560" w:lineRule="exact"/>
        <w:ind w:left="640" w:firstLineChars="0" w:firstLine="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三、遴选方式与程序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公开申报</w:t>
      </w:r>
      <w:r>
        <w:rPr>
          <w:rFonts w:ascii="楷体_GB2312" w:eastAsia="楷体_GB2312" w:hint="eastAsia"/>
          <w:bCs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申报截止日期为</w:t>
      </w:r>
      <w:r>
        <w:rPr>
          <w:rFonts w:ascii="仿宋_GB2312" w:eastAsia="仿宋_GB2312" w:cs="仿宋_GB2312" w:hint="eastAsia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日。申报人向所在单位提出申请，提交《申报表》（见附件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）一式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份和证明材料（均要扫描成电子版）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份。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申报人所在单位核实并加具推荐意见后，将《申报表》和证明材料的电子和纸质版报送至市级团（工）委。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证明材料</w:t>
      </w:r>
      <w:r>
        <w:rPr>
          <w:rFonts w:ascii="仿宋_GB2312" w:eastAsia="仿宋_GB2312" w:hint="eastAsia"/>
          <w:bCs/>
          <w:sz w:val="32"/>
          <w:szCs w:val="32"/>
        </w:rPr>
        <w:t>包括：台湾居民往来大陆通行证、学历（学位）证书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［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海外学历还需提供经教育部留学服务中心认证的国（境）外学历学位认证书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]</w:t>
      </w:r>
      <w:r>
        <w:rPr>
          <w:rFonts w:ascii="仿宋_GB2312" w:eastAsia="仿宋_GB2312" w:hint="eastAsia"/>
          <w:bCs/>
          <w:sz w:val="32"/>
          <w:szCs w:val="32"/>
        </w:rPr>
        <w:t>、专业技术职务（职业、执业）资格证书、聘用（劳动）合同、社会保险缴纳证明或个人所得税完税证明、入选相关人才计划（项目）证明、工作业绩证明材料。以上均为复印件，且须加盖所在单位公章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资格审查。</w:t>
      </w:r>
      <w:r>
        <w:rPr>
          <w:rFonts w:ascii="仿宋_GB2312" w:eastAsia="仿宋_GB2312" w:hAnsi="Calibri" w:cs="仿宋_GB2312" w:hint="eastAsia"/>
          <w:sz w:val="32"/>
          <w:szCs w:val="32"/>
        </w:rPr>
        <w:t>团省委</w:t>
      </w:r>
      <w:r>
        <w:rPr>
          <w:rFonts w:ascii="仿宋_GB2312" w:eastAsia="仿宋_GB2312" w:cs="仿宋_GB2312" w:hint="eastAsia"/>
          <w:sz w:val="32"/>
          <w:szCs w:val="32"/>
        </w:rPr>
        <w:t>完成资格条件审核后，形成申报人选汇总名单，并征求省台办意见。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评审答辩。</w:t>
      </w:r>
      <w:r>
        <w:rPr>
          <w:rFonts w:ascii="仿宋_GB2312" w:eastAsia="仿宋_GB2312" w:hAnsi="Calibri" w:cs="仿宋_GB2312" w:hint="eastAsia"/>
          <w:sz w:val="32"/>
          <w:szCs w:val="32"/>
        </w:rPr>
        <w:t>团省委</w:t>
      </w:r>
      <w:r>
        <w:rPr>
          <w:rFonts w:ascii="仿宋_GB2312" w:eastAsia="仿宋_GB2312" w:cs="仿宋_GB2312" w:hint="eastAsia"/>
          <w:sz w:val="32"/>
          <w:szCs w:val="32"/>
        </w:rPr>
        <w:t>组织有关专家开展评审，根据评审结果，确定实地考察对象名单。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实地考察。</w:t>
      </w:r>
      <w:r>
        <w:rPr>
          <w:rFonts w:ascii="仿宋_GB2312" w:eastAsia="仿宋_GB2312" w:hAnsi="Calibri" w:cs="仿宋_GB2312" w:hint="eastAsia"/>
          <w:sz w:val="32"/>
          <w:szCs w:val="32"/>
        </w:rPr>
        <w:t>团省委</w:t>
      </w:r>
      <w:r>
        <w:rPr>
          <w:rFonts w:ascii="仿宋_GB2312" w:eastAsia="仿宋_GB2312" w:cs="仿宋_GB2312" w:hint="eastAsia"/>
          <w:sz w:val="32"/>
          <w:szCs w:val="32"/>
        </w:rPr>
        <w:t>组织考察组，会同相应设区市、平潭综合</w:t>
      </w:r>
      <w:r>
        <w:rPr>
          <w:rFonts w:ascii="仿宋_GB2312" w:eastAsia="仿宋_GB2312" w:cs="仿宋_GB2312" w:hint="eastAsia"/>
          <w:sz w:val="32"/>
          <w:szCs w:val="32"/>
        </w:rPr>
        <w:t>实</w:t>
      </w:r>
      <w:r>
        <w:rPr>
          <w:rFonts w:ascii="仿宋_GB2312" w:eastAsia="仿宋_GB2312" w:cs="仿宋_GB2312" w:hint="eastAsia"/>
          <w:sz w:val="32"/>
          <w:szCs w:val="32"/>
        </w:rPr>
        <w:t>验区、省直单位及中直单位驻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闽机构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有关部门进行实地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考察，核实有关材料的真实性，以及项目实施情况和社会影响等情况。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</w:t>
      </w:r>
      <w:r>
        <w:rPr>
          <w:rFonts w:ascii="楷体_GB2312" w:eastAsia="楷体_GB2312" w:hAnsi="楷体_GB2312" w:cs="楷体_GB2312" w:hint="eastAsia"/>
          <w:sz w:val="32"/>
          <w:szCs w:val="32"/>
        </w:rPr>
        <w:t>复核公示。</w:t>
      </w:r>
      <w:r>
        <w:rPr>
          <w:rFonts w:ascii="仿宋_GB2312" w:eastAsia="仿宋_GB2312" w:cs="仿宋_GB2312" w:hint="eastAsia"/>
          <w:sz w:val="32"/>
          <w:szCs w:val="32"/>
        </w:rPr>
        <w:t>团省委根据综合评审结果，择优提出人选建议名单，报省委人才办复核后，在相关媒体上对人选名单进行公示。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</w:t>
      </w:r>
      <w:r>
        <w:rPr>
          <w:rFonts w:ascii="楷体_GB2312" w:eastAsia="楷体_GB2312" w:hAnsi="楷体_GB2312" w:cs="楷体_GB2312" w:hint="eastAsia"/>
          <w:sz w:val="32"/>
          <w:szCs w:val="32"/>
        </w:rPr>
        <w:t>研究确定。</w:t>
      </w:r>
      <w:r>
        <w:rPr>
          <w:rFonts w:ascii="仿宋_GB2312" w:eastAsia="仿宋_GB2312" w:cs="仿宋_GB2312" w:hint="eastAsia"/>
          <w:sz w:val="32"/>
          <w:szCs w:val="32"/>
        </w:rPr>
        <w:t>公示无异议的或不影响遴选的，提请省委人才工作领导小组会议研究确定。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</w:t>
      </w:r>
      <w:r>
        <w:rPr>
          <w:rFonts w:ascii="楷体_GB2312" w:eastAsia="楷体_GB2312" w:hAnsi="楷体_GB2312" w:cs="楷体_GB2312" w:hint="eastAsia"/>
          <w:sz w:val="32"/>
          <w:szCs w:val="32"/>
        </w:rPr>
        <w:t>发文公布。</w:t>
      </w:r>
      <w:r>
        <w:rPr>
          <w:rFonts w:ascii="仿宋_GB2312" w:eastAsia="仿宋_GB2312" w:cs="仿宋_GB2312" w:hint="eastAsia"/>
          <w:sz w:val="32"/>
          <w:szCs w:val="32"/>
        </w:rPr>
        <w:t>由团省委和省委人才工作领导小组办公室联合发文公布，各推报单位负责通知入选人才。</w:t>
      </w:r>
    </w:p>
    <w:p w:rsidR="002B684B" w:rsidRDefault="005950D7">
      <w:pPr>
        <w:pStyle w:val="ListParagraph1"/>
        <w:spacing w:line="560" w:lineRule="exact"/>
        <w:ind w:firstLineChars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8.</w:t>
      </w:r>
      <w:r>
        <w:rPr>
          <w:rFonts w:ascii="楷体_GB2312" w:eastAsia="楷体_GB2312" w:hAnsi="楷体_GB2312" w:cs="楷体_GB2312" w:hint="eastAsia"/>
          <w:sz w:val="32"/>
          <w:szCs w:val="32"/>
        </w:rPr>
        <w:t>追加补助。</w:t>
      </w:r>
      <w:r>
        <w:rPr>
          <w:rFonts w:ascii="仿宋_GB2312" w:eastAsia="仿宋_GB2312" w:hAnsi="Calibri" w:cs="仿宋_GB2312" w:hint="eastAsia"/>
          <w:sz w:val="32"/>
          <w:szCs w:val="32"/>
        </w:rPr>
        <w:t>根据遴选办法，</w:t>
      </w:r>
      <w:r>
        <w:rPr>
          <w:rFonts w:ascii="仿宋_GB2312" w:eastAsia="仿宋_GB2312" w:cs="仿宋_GB2312" w:hint="eastAsia"/>
          <w:sz w:val="32"/>
          <w:szCs w:val="32"/>
        </w:rPr>
        <w:t>对入选者的受助情况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进行查重复核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后兑现人才专项经费追加补助。</w:t>
      </w:r>
    </w:p>
    <w:p w:rsidR="002B684B" w:rsidRDefault="005950D7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四、有关要求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各市级团（工）委、人才办要高度重视、充分沟通、精心部署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、广泛发动、加强宣传，</w:t>
      </w:r>
      <w:r>
        <w:rPr>
          <w:rFonts w:ascii="仿宋_GB2312" w:eastAsia="仿宋_GB2312" w:cs="仿宋_GB2312" w:hint="eastAsia"/>
          <w:sz w:val="32"/>
          <w:szCs w:val="32"/>
        </w:rPr>
        <w:t>组织符合条件的高层次创新创业台湾人才申报。</w:t>
      </w:r>
      <w:r>
        <w:rPr>
          <w:rFonts w:ascii="仿宋_GB2312" w:eastAsia="仿宋_GB2312" w:cs="仿宋_GB2312" w:hint="eastAsia"/>
          <w:sz w:val="32"/>
          <w:szCs w:val="32"/>
        </w:rPr>
        <w:t>用人单位要对申报人选材料认真审核、严格把关</w:t>
      </w:r>
      <w:r>
        <w:rPr>
          <w:rFonts w:ascii="仿宋_GB2312" w:eastAsia="仿宋_GB2312" w:hint="eastAsia"/>
          <w:sz w:val="32"/>
          <w:szCs w:val="32"/>
        </w:rPr>
        <w:t>，不得将入选人才的补助资金挪作</w:t>
      </w:r>
      <w:r w:rsidR="00534DFA">
        <w:rPr>
          <w:rFonts w:ascii="仿宋_GB2312" w:eastAsia="仿宋_GB2312" w:hint="eastAsia"/>
          <w:sz w:val="32"/>
          <w:szCs w:val="32"/>
        </w:rPr>
        <w:t>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用。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各市级团（工）委请于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日前将通过审核的《申报表》、证明材料和《汇总表》（见附件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）的电子和纸质版报送至团省委组织部。</w:t>
      </w:r>
    </w:p>
    <w:p w:rsidR="002B684B" w:rsidRDefault="002B68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人：团省委组织部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牛丽耘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0591-875</w:t>
      </w:r>
      <w:r>
        <w:rPr>
          <w:rFonts w:ascii="仿宋_GB2312" w:eastAsia="仿宋_GB2312" w:hint="eastAsia"/>
          <w:sz w:val="32"/>
          <w:szCs w:val="32"/>
        </w:rPr>
        <w:t>33386</w:t>
      </w:r>
    </w:p>
    <w:p w:rsidR="002B684B" w:rsidRDefault="005950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fjbrjh</w:t>
        </w:r>
        <w:r>
          <w:rPr>
            <w:rFonts w:ascii="仿宋_GB2312" w:eastAsia="仿宋_GB2312"/>
            <w:sz w:val="32"/>
            <w:szCs w:val="32"/>
          </w:rPr>
          <w:t>@</w:t>
        </w:r>
        <w:r>
          <w:rPr>
            <w:rFonts w:ascii="仿宋_GB2312" w:eastAsia="仿宋_GB2312" w:hint="eastAsia"/>
            <w:sz w:val="32"/>
            <w:szCs w:val="32"/>
          </w:rPr>
          <w:t>163</w:t>
        </w:r>
        <w:r>
          <w:rPr>
            <w:rFonts w:ascii="仿宋_GB2312" w:eastAsia="仿宋_GB2312"/>
            <w:sz w:val="32"/>
            <w:szCs w:val="32"/>
          </w:rPr>
          <w:t>.com</w:t>
        </w:r>
      </w:hyperlink>
    </w:p>
    <w:p w:rsidR="002B684B" w:rsidRDefault="005950D7">
      <w:pPr>
        <w:pStyle w:val="ListParagraph1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通讯地址：福州市鼓楼区东街</w:t>
      </w:r>
      <w:r>
        <w:rPr>
          <w:rFonts w:ascii="仿宋_GB2312" w:eastAsia="仿宋_GB2312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号</w:t>
      </w:r>
      <w:proofErr w:type="gramStart"/>
      <w:r>
        <w:rPr>
          <w:rFonts w:ascii="仿宋_GB2312" w:eastAsia="仿宋_GB2312" w:hint="eastAsia"/>
          <w:sz w:val="32"/>
          <w:szCs w:val="32"/>
        </w:rPr>
        <w:t>中庚青年</w:t>
      </w:r>
      <w:proofErr w:type="gramEnd"/>
      <w:r>
        <w:rPr>
          <w:rFonts w:ascii="仿宋_GB2312" w:eastAsia="仿宋_GB2312" w:hint="eastAsia"/>
          <w:sz w:val="32"/>
          <w:szCs w:val="32"/>
        </w:rPr>
        <w:t>广场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层</w:t>
      </w:r>
      <w:r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（邮编：</w:t>
      </w:r>
      <w:r>
        <w:rPr>
          <w:rFonts w:ascii="仿宋_GB2312" w:eastAsia="仿宋_GB2312"/>
          <w:sz w:val="32"/>
          <w:szCs w:val="32"/>
        </w:rPr>
        <w:t>350001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B684B" w:rsidRDefault="002B684B">
      <w:pPr>
        <w:pStyle w:val="ListParagraph1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2B684B" w:rsidRDefault="005950D7">
      <w:pPr>
        <w:pStyle w:val="ListParagraph1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福建省引进台湾高层次人才“百人计划”申报表</w:t>
      </w:r>
    </w:p>
    <w:p w:rsidR="002B684B" w:rsidRDefault="005950D7" w:rsidP="00534DFA">
      <w:pPr>
        <w:pStyle w:val="ListParagraph1"/>
        <w:spacing w:line="560" w:lineRule="exact"/>
        <w:ind w:leftChars="761" w:left="1896" w:hangingChars="93" w:hanging="2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福建省引进台湾高层次人才“百人计划”汇总表</w:t>
      </w:r>
    </w:p>
    <w:p w:rsidR="002B684B" w:rsidRDefault="002B684B">
      <w:pPr>
        <w:pStyle w:val="ListParagraph1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2B684B" w:rsidRDefault="002B684B">
      <w:pPr>
        <w:pStyle w:val="ListParagraph1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2B684B" w:rsidRDefault="005950D7">
      <w:pPr>
        <w:pStyle w:val="ListParagraph1"/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共青团福建省委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中共福建省委人才</w:t>
      </w:r>
    </w:p>
    <w:p w:rsidR="002B684B" w:rsidRDefault="005950D7">
      <w:pPr>
        <w:pStyle w:val="ListParagraph1"/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工作领导小组办公室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B684B" w:rsidRDefault="005950D7"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2B684B">
      <w:headerReference w:type="default" r:id="rId9"/>
      <w:footerReference w:type="default" r:id="rId10"/>
      <w:pgSz w:w="11906" w:h="16838"/>
      <w:pgMar w:top="1531" w:right="1531" w:bottom="1531" w:left="1701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D7" w:rsidRDefault="005950D7">
      <w:r>
        <w:separator/>
      </w:r>
    </w:p>
  </w:endnote>
  <w:endnote w:type="continuationSeparator" w:id="0">
    <w:p w:rsidR="005950D7" w:rsidRDefault="0059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4B" w:rsidRDefault="005950D7">
    <w:pPr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84B" w:rsidRDefault="002B684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  <w:p w:rsidR="002B684B" w:rsidRDefault="002B684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  <w:p w:rsidR="002B684B" w:rsidRDefault="002B684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rotation:5898240f;z-index:251671552;mso-width-relative:page;mso-height-relative:page;" filled="f" stroked="f" coordsize="21600,21600" o:gfxdata="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j7WY1AAAAAcBAAAP&#10;AAAAAAAAAAEAIAAAACIAAABkcnMvZG93bnJldi54bWxQSwECFAAUAAAACACHTuJAwdHFTxwCAAAj&#10;BAAADgAAAAAAAAABACAAAAAj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84B" w:rsidRDefault="002B684B">
                          <w:pPr>
                            <w:pStyle w:val="a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2B684B" w:rsidRDefault="002B684B">
    <w:pPr>
      <w:pStyle w:val="a7"/>
      <w:tabs>
        <w:tab w:val="left" w:pos="413"/>
        <w:tab w:val="center" w:pos="4397"/>
      </w:tabs>
      <w:rPr>
        <w:rFonts w:ascii="宋体" w:hAnsi="宋体"/>
        <w:sz w:val="28"/>
        <w:szCs w:val="28"/>
      </w:rPr>
    </w:pPr>
  </w:p>
  <w:p w:rsidR="002B684B" w:rsidRDefault="005950D7">
    <w:pPr>
      <w:pStyle w:val="a7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t xml:space="preserve"> 10</w:t>
    </w:r>
    <w:r>
      <w:rPr>
        <w:rFonts w:asciiTheme="minorEastAsia" w:hAnsiTheme="minorEastAsia" w:cstheme="minorEastAsia"/>
        <w:sz w:val="28"/>
        <w:szCs w:val="28"/>
      </w:rPr>
      <w:t xml:space="preserve"> </w:t>
    </w:r>
    <w:r>
      <w:rPr>
        <w:rFonts w:asciiTheme="minorEastAsia" w:hAnsiTheme="minorEastAsia" w:cs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D7" w:rsidRDefault="005950D7">
      <w:r>
        <w:separator/>
      </w:r>
    </w:p>
  </w:footnote>
  <w:footnote w:type="continuationSeparator" w:id="0">
    <w:p w:rsidR="005950D7" w:rsidRDefault="0059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4B" w:rsidRDefault="002B684B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3BA0"/>
    <w:rsid w:val="000E6BD9"/>
    <w:rsid w:val="001318BF"/>
    <w:rsid w:val="001669C3"/>
    <w:rsid w:val="001E53EA"/>
    <w:rsid w:val="00275AE9"/>
    <w:rsid w:val="002B684B"/>
    <w:rsid w:val="004631BA"/>
    <w:rsid w:val="00475359"/>
    <w:rsid w:val="00534DFA"/>
    <w:rsid w:val="00540679"/>
    <w:rsid w:val="005950D7"/>
    <w:rsid w:val="006631F4"/>
    <w:rsid w:val="00713B7E"/>
    <w:rsid w:val="00855841"/>
    <w:rsid w:val="0085785D"/>
    <w:rsid w:val="00865158"/>
    <w:rsid w:val="008A7212"/>
    <w:rsid w:val="008B21ED"/>
    <w:rsid w:val="008E78BF"/>
    <w:rsid w:val="00955874"/>
    <w:rsid w:val="00965C6A"/>
    <w:rsid w:val="00966FF6"/>
    <w:rsid w:val="00977DEE"/>
    <w:rsid w:val="00A26859"/>
    <w:rsid w:val="00A959E3"/>
    <w:rsid w:val="00AE6388"/>
    <w:rsid w:val="00B23290"/>
    <w:rsid w:val="00B50844"/>
    <w:rsid w:val="00C257CD"/>
    <w:rsid w:val="00C56466"/>
    <w:rsid w:val="00D8597B"/>
    <w:rsid w:val="00DB5B60"/>
    <w:rsid w:val="00E9008A"/>
    <w:rsid w:val="00FF5F1E"/>
    <w:rsid w:val="030F7B49"/>
    <w:rsid w:val="038E12CF"/>
    <w:rsid w:val="04177B7A"/>
    <w:rsid w:val="041E7F46"/>
    <w:rsid w:val="04E05A5D"/>
    <w:rsid w:val="055036A6"/>
    <w:rsid w:val="066D0CAF"/>
    <w:rsid w:val="06F82607"/>
    <w:rsid w:val="07CB77DE"/>
    <w:rsid w:val="081E3F54"/>
    <w:rsid w:val="09A45911"/>
    <w:rsid w:val="0ABE451B"/>
    <w:rsid w:val="0B0F7289"/>
    <w:rsid w:val="0B664DFC"/>
    <w:rsid w:val="0B8C375F"/>
    <w:rsid w:val="0C6C7DEC"/>
    <w:rsid w:val="0C6D586E"/>
    <w:rsid w:val="0D1B1881"/>
    <w:rsid w:val="0E3714F2"/>
    <w:rsid w:val="0ECF75D6"/>
    <w:rsid w:val="0F257564"/>
    <w:rsid w:val="105447C8"/>
    <w:rsid w:val="10D941CB"/>
    <w:rsid w:val="110E4B33"/>
    <w:rsid w:val="11714C05"/>
    <w:rsid w:val="12D714F0"/>
    <w:rsid w:val="133C286D"/>
    <w:rsid w:val="13D678E1"/>
    <w:rsid w:val="14B66828"/>
    <w:rsid w:val="14D17BCE"/>
    <w:rsid w:val="15766722"/>
    <w:rsid w:val="157F7EA3"/>
    <w:rsid w:val="15EF13AB"/>
    <w:rsid w:val="168B0806"/>
    <w:rsid w:val="18A56D26"/>
    <w:rsid w:val="18A852E0"/>
    <w:rsid w:val="191231E8"/>
    <w:rsid w:val="197112F0"/>
    <w:rsid w:val="19881E27"/>
    <w:rsid w:val="19D55B9A"/>
    <w:rsid w:val="19D90ED5"/>
    <w:rsid w:val="19F05AC4"/>
    <w:rsid w:val="1ACF78BB"/>
    <w:rsid w:val="1AEF012A"/>
    <w:rsid w:val="1BD57D54"/>
    <w:rsid w:val="1D721DA0"/>
    <w:rsid w:val="1EB35871"/>
    <w:rsid w:val="1F6C6AFA"/>
    <w:rsid w:val="21F40D0A"/>
    <w:rsid w:val="22326D8C"/>
    <w:rsid w:val="23917F40"/>
    <w:rsid w:val="267B004E"/>
    <w:rsid w:val="268725F5"/>
    <w:rsid w:val="279A0114"/>
    <w:rsid w:val="28C60A79"/>
    <w:rsid w:val="290F459D"/>
    <w:rsid w:val="292D5817"/>
    <w:rsid w:val="29A15C36"/>
    <w:rsid w:val="2A941331"/>
    <w:rsid w:val="2B232869"/>
    <w:rsid w:val="2B3A5257"/>
    <w:rsid w:val="2E6F2FE4"/>
    <w:rsid w:val="312461A5"/>
    <w:rsid w:val="32377E52"/>
    <w:rsid w:val="3282171D"/>
    <w:rsid w:val="32ED55E4"/>
    <w:rsid w:val="33FC7257"/>
    <w:rsid w:val="346D1C02"/>
    <w:rsid w:val="349B4615"/>
    <w:rsid w:val="35EB1BB4"/>
    <w:rsid w:val="3BAB0D5B"/>
    <w:rsid w:val="3BDE55F6"/>
    <w:rsid w:val="3C420EF0"/>
    <w:rsid w:val="3D1637B9"/>
    <w:rsid w:val="3DC30690"/>
    <w:rsid w:val="3E2068FB"/>
    <w:rsid w:val="403109C4"/>
    <w:rsid w:val="40355BFE"/>
    <w:rsid w:val="409C7704"/>
    <w:rsid w:val="40AE3388"/>
    <w:rsid w:val="41991459"/>
    <w:rsid w:val="42FF3BA0"/>
    <w:rsid w:val="43F53CB6"/>
    <w:rsid w:val="44073EED"/>
    <w:rsid w:val="44C724AC"/>
    <w:rsid w:val="457805D5"/>
    <w:rsid w:val="46446CB8"/>
    <w:rsid w:val="46C27BB8"/>
    <w:rsid w:val="46C356C9"/>
    <w:rsid w:val="472D24A7"/>
    <w:rsid w:val="479A3A95"/>
    <w:rsid w:val="498569A3"/>
    <w:rsid w:val="49AD7364"/>
    <w:rsid w:val="49C02BA2"/>
    <w:rsid w:val="4A4B1E80"/>
    <w:rsid w:val="4A4B7C7C"/>
    <w:rsid w:val="4A525F33"/>
    <w:rsid w:val="4AFC0C5B"/>
    <w:rsid w:val="4B0A04B1"/>
    <w:rsid w:val="4B630FB6"/>
    <w:rsid w:val="4CE0643A"/>
    <w:rsid w:val="4D0872BF"/>
    <w:rsid w:val="4D113C2A"/>
    <w:rsid w:val="4D5E2DF2"/>
    <w:rsid w:val="4DA62D34"/>
    <w:rsid w:val="4DAE687C"/>
    <w:rsid w:val="4DD4330E"/>
    <w:rsid w:val="4EC34D01"/>
    <w:rsid w:val="4FAC78EF"/>
    <w:rsid w:val="51D87244"/>
    <w:rsid w:val="52C028A8"/>
    <w:rsid w:val="52F66976"/>
    <w:rsid w:val="55981077"/>
    <w:rsid w:val="56836881"/>
    <w:rsid w:val="57F00816"/>
    <w:rsid w:val="58A724A8"/>
    <w:rsid w:val="594703B6"/>
    <w:rsid w:val="599A3902"/>
    <w:rsid w:val="59E7087A"/>
    <w:rsid w:val="5A4E31CC"/>
    <w:rsid w:val="5A8F21B7"/>
    <w:rsid w:val="5AB83464"/>
    <w:rsid w:val="5AD2346B"/>
    <w:rsid w:val="5C323DE8"/>
    <w:rsid w:val="5CB64B1C"/>
    <w:rsid w:val="5DA0255E"/>
    <w:rsid w:val="5E752DA0"/>
    <w:rsid w:val="60C91B4B"/>
    <w:rsid w:val="61923792"/>
    <w:rsid w:val="619C688D"/>
    <w:rsid w:val="619E57A2"/>
    <w:rsid w:val="628B209B"/>
    <w:rsid w:val="67230443"/>
    <w:rsid w:val="67696EDE"/>
    <w:rsid w:val="687C3FA8"/>
    <w:rsid w:val="68A11ADF"/>
    <w:rsid w:val="69F33FE2"/>
    <w:rsid w:val="69FC0447"/>
    <w:rsid w:val="6ABD2977"/>
    <w:rsid w:val="6C2678CC"/>
    <w:rsid w:val="6E535B72"/>
    <w:rsid w:val="6ECA06BC"/>
    <w:rsid w:val="6F206120"/>
    <w:rsid w:val="70367234"/>
    <w:rsid w:val="70A66275"/>
    <w:rsid w:val="71036F29"/>
    <w:rsid w:val="716B0BD0"/>
    <w:rsid w:val="729E5CEA"/>
    <w:rsid w:val="73C674D6"/>
    <w:rsid w:val="743A4832"/>
    <w:rsid w:val="74D12AE7"/>
    <w:rsid w:val="750D76EB"/>
    <w:rsid w:val="753637C9"/>
    <w:rsid w:val="75A67154"/>
    <w:rsid w:val="763C52B2"/>
    <w:rsid w:val="76FC6AA8"/>
    <w:rsid w:val="770A4CCF"/>
    <w:rsid w:val="773B38C6"/>
    <w:rsid w:val="776B431D"/>
    <w:rsid w:val="776C03E0"/>
    <w:rsid w:val="78606375"/>
    <w:rsid w:val="79540413"/>
    <w:rsid w:val="7A8A494E"/>
    <w:rsid w:val="7A9026B8"/>
    <w:rsid w:val="7AC0664B"/>
    <w:rsid w:val="7ACE1994"/>
    <w:rsid w:val="7B4B2407"/>
    <w:rsid w:val="7BEE5B69"/>
    <w:rsid w:val="7C76592C"/>
    <w:rsid w:val="7CD052C3"/>
    <w:rsid w:val="7D290A9E"/>
    <w:rsid w:val="7DC140E4"/>
    <w:rsid w:val="7EE52BE4"/>
    <w:rsid w:val="7F2C13F6"/>
    <w:rsid w:val="7F4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9669910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福建省引进台湾高层次人才</dc:title>
  <dc:creator>Administrator</dc:creator>
  <cp:lastModifiedBy>傅建清(19781280)</cp:lastModifiedBy>
  <cp:revision>121</cp:revision>
  <cp:lastPrinted>2018-11-07T07:07:00Z</cp:lastPrinted>
  <dcterms:created xsi:type="dcterms:W3CDTF">2017-10-26T01:39:00Z</dcterms:created>
  <dcterms:modified xsi:type="dcterms:W3CDTF">2022-09-06T01:37:00Z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